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before="500"/>
        <w:jc w:val="center"/>
      </w:pPr>
      <w:r>
        <w:rPr>
          <w:rFonts w:ascii="Calibri" w:cs="Calibri" w:eastAsia="Calibri" w:hAnsi="Calibri"/>
          <w:b/>
          <w:bCs/>
          <w:i w:val="false"/>
          <w:iCs w:val="false"/>
          <w:color w:val="1E2A5A"/>
          <w:sz w:val="32"/>
          <w:szCs w:val="32"/>
        </w:rPr>
        <w:t xml:space="preserve">INFORMACIÓN DEL PLAN DE NEGOCIO</w:t>
      </w:r>
    </w:p>
    <w:p>
      <w:pPr>
        <w:spacing w:after="400" w:before="0"/>
        <w:jc w:val="center"/>
      </w:pPr>
      <w:r>
        <w:rPr>
          <w:rFonts w:ascii="Calibri" w:cs="Calibri" w:eastAsia="Calibri" w:hAnsi="Calibri"/>
          <w:b w:val="false"/>
          <w:bCs w:val="false"/>
          <w:i/>
          <w:iCs/>
          <w:color w:val="64748B"/>
          <w:sz w:val="22"/>
          <w:szCs w:val="22"/>
        </w:rPr>
        <w:t xml:space="preserve">TributoApp S.A.S.  |  Barranquilla, Colombia  |  2026</w:t>
      </w:r>
    </w:p>
    <w:p>
      <w:pPr>
        <w:pStyle w:val="Heading1"/>
        <w:pBdr>
          <w:bottom w:val="single" w:color="0284C7" w:sz="12" w:space="4"/>
        </w:pBdr>
        <w:spacing w:after="160" w:before="400"/>
      </w:pPr>
      <w:r>
        <w:rPr>
          <w:rFonts w:ascii="Calibri" w:cs="Calibri" w:eastAsia="Calibri" w:hAnsi="Calibri"/>
          <w:b/>
          <w:bCs/>
          <w:i w:val="false"/>
          <w:iCs w:val="false"/>
          <w:color w:val="1E2A5A"/>
          <w:sz w:val="26"/>
          <w:szCs w:val="26"/>
        </w:rPr>
        <w:t xml:space="preserve">DATOS GENERALES DEL PLAN DE NEGOCIO</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rPr>
          <w:tblHeader/>
        </w:trPr>
        <w:tc>
          <w:tcPr>
            <w:tcW w:type="pct" w:w="5%"/>
            <w:tcBorders>
              <w:top w:val="single" w:color="CBD5E1" w:sz="4"/>
              <w:left w:val="single" w:color="CBD5E1" w:sz="4"/>
              <w:bottom w:val="single" w:color="CBD5E1" w:sz="4"/>
              <w:right w:val="single" w:color="CBD5E1" w:sz="4"/>
            </w:tcBorders>
            <w:shd w:fill="1E2A5A" w:val="clear"/>
            <w:tcMar>
              <w:top w:type="dxa" w:w="80"/>
              <w:left w:type="dxa" w:w="100"/>
              <w:bottom w:type="dxa" w:w="80"/>
              <w:right w:type="dxa" w:w="80"/>
            </w:tcMar>
            <w:vAlign w:val="center"/>
          </w:tcPr>
          <w:p>
            <w:pPr>
              <w:jc w:val="center"/>
            </w:pPr>
            <w:r>
              <w:rPr>
                <w:rFonts w:ascii="Calibri" w:cs="Calibri" w:eastAsia="Calibri" w:hAnsi="Calibri"/>
                <w:b/>
                <w:bCs/>
                <w:i w:val="false"/>
                <w:iCs w:val="false"/>
                <w:color w:val="FFFFFF"/>
                <w:sz w:val="20"/>
                <w:szCs w:val="20"/>
              </w:rPr>
              <w:t xml:space="preserve">#</w:t>
            </w:r>
          </w:p>
        </w:tc>
        <w:tc>
          <w:tcPr>
            <w:tcW w:type="pct" w:w="30%"/>
            <w:tcBorders>
              <w:top w:val="single" w:color="CBD5E1" w:sz="4"/>
              <w:left w:val="single" w:color="CBD5E1" w:sz="4"/>
              <w:bottom w:val="single" w:color="CBD5E1" w:sz="4"/>
              <w:right w:val="single" w:color="CBD5E1" w:sz="4"/>
            </w:tcBorders>
            <w:shd w:fill="1E2A5A" w:val="clear"/>
            <w:tcMar>
              <w:top w:type="dxa" w:w="80"/>
              <w:left w:type="dxa" w:w="100"/>
              <w:bottom w:type="dxa" w:w="80"/>
              <w:right w:type="dxa" w:w="80"/>
            </w:tcMar>
            <w:vAlign w:val="center"/>
          </w:tcPr>
          <w:p>
            <w:pPr>
              <w:jc w:val="center"/>
            </w:pPr>
            <w:r>
              <w:rPr>
                <w:rFonts w:ascii="Calibri" w:cs="Calibri" w:eastAsia="Calibri" w:hAnsi="Calibri"/>
                <w:b/>
                <w:bCs/>
                <w:i w:val="false"/>
                <w:iCs w:val="false"/>
                <w:color w:val="FFFFFF"/>
                <w:sz w:val="20"/>
                <w:szCs w:val="20"/>
              </w:rPr>
              <w:t xml:space="preserve">NOMBRE Y APELLIDOS</w:t>
            </w:r>
          </w:p>
        </w:tc>
        <w:tc>
          <w:tcPr>
            <w:tcW w:type="pct" w:w="18%"/>
            <w:tcBorders>
              <w:top w:val="single" w:color="CBD5E1" w:sz="4"/>
              <w:left w:val="single" w:color="CBD5E1" w:sz="4"/>
              <w:bottom w:val="single" w:color="CBD5E1" w:sz="4"/>
              <w:right w:val="single" w:color="CBD5E1" w:sz="4"/>
            </w:tcBorders>
            <w:shd w:fill="1E2A5A" w:val="clear"/>
            <w:tcMar>
              <w:top w:type="dxa" w:w="80"/>
              <w:left w:type="dxa" w:w="100"/>
              <w:bottom w:type="dxa" w:w="80"/>
              <w:right w:type="dxa" w:w="80"/>
            </w:tcMar>
            <w:vAlign w:val="center"/>
          </w:tcPr>
          <w:p>
            <w:pPr>
              <w:jc w:val="center"/>
            </w:pPr>
            <w:r>
              <w:rPr>
                <w:rFonts w:ascii="Calibri" w:cs="Calibri" w:eastAsia="Calibri" w:hAnsi="Calibri"/>
                <w:b/>
                <w:bCs/>
                <w:i w:val="false"/>
                <w:iCs w:val="false"/>
                <w:color w:val="FFFFFF"/>
                <w:sz w:val="20"/>
                <w:szCs w:val="20"/>
              </w:rPr>
              <w:t xml:space="preserve">TELÉFONO</w:t>
            </w:r>
          </w:p>
        </w:tc>
        <w:tc>
          <w:tcPr>
            <w:tcW w:type="pct" w:w="27%"/>
            <w:tcBorders>
              <w:top w:val="single" w:color="CBD5E1" w:sz="4"/>
              <w:left w:val="single" w:color="CBD5E1" w:sz="4"/>
              <w:bottom w:val="single" w:color="CBD5E1" w:sz="4"/>
              <w:right w:val="single" w:color="CBD5E1" w:sz="4"/>
            </w:tcBorders>
            <w:shd w:fill="1E2A5A" w:val="clear"/>
            <w:tcMar>
              <w:top w:type="dxa" w:w="80"/>
              <w:left w:type="dxa" w:w="100"/>
              <w:bottom w:type="dxa" w:w="80"/>
              <w:right w:type="dxa" w:w="80"/>
            </w:tcMar>
            <w:vAlign w:val="center"/>
          </w:tcPr>
          <w:p>
            <w:pPr>
              <w:jc w:val="center"/>
            </w:pPr>
            <w:r>
              <w:rPr>
                <w:rFonts w:ascii="Calibri" w:cs="Calibri" w:eastAsia="Calibri" w:hAnsi="Calibri"/>
                <w:b/>
                <w:bCs/>
                <w:i w:val="false"/>
                <w:iCs w:val="false"/>
                <w:color w:val="FFFFFF"/>
                <w:sz w:val="20"/>
                <w:szCs w:val="20"/>
              </w:rPr>
              <w:t xml:space="preserve">CORREO ELECTRÓNICO</w:t>
            </w:r>
          </w:p>
        </w:tc>
        <w:tc>
          <w:tcPr>
            <w:tcW w:type="pct" w:w="20%"/>
            <w:tcBorders>
              <w:top w:val="single" w:color="CBD5E1" w:sz="4"/>
              <w:left w:val="single" w:color="CBD5E1" w:sz="4"/>
              <w:bottom w:val="single" w:color="CBD5E1" w:sz="4"/>
              <w:right w:val="single" w:color="CBD5E1" w:sz="4"/>
            </w:tcBorders>
            <w:shd w:fill="1E2A5A" w:val="clear"/>
            <w:tcMar>
              <w:top w:type="dxa" w:w="80"/>
              <w:left w:type="dxa" w:w="100"/>
              <w:bottom w:type="dxa" w:w="80"/>
              <w:right w:type="dxa" w:w="80"/>
            </w:tcMar>
            <w:vAlign w:val="center"/>
          </w:tcPr>
          <w:p>
            <w:pPr>
              <w:jc w:val="center"/>
            </w:pPr>
            <w:r>
              <w:rPr>
                <w:rFonts w:ascii="Calibri" w:cs="Calibri" w:eastAsia="Calibri" w:hAnsi="Calibri"/>
                <w:b/>
                <w:bCs/>
                <w:i w:val="false"/>
                <w:iCs w:val="false"/>
                <w:color w:val="FFFFFF"/>
                <w:sz w:val="20"/>
                <w:szCs w:val="20"/>
              </w:rPr>
              <w:t xml:space="preserve">PROGRAMA ACADÉMICO</w:t>
            </w:r>
          </w:p>
        </w:tc>
      </w:tr>
      <w:tr>
        <w:tc>
          <w:tcPr>
            <w:tcW w:type="pct" w:w="5%"/>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1</w:t>
            </w:r>
          </w:p>
        </w:tc>
        <w:tc>
          <w:tcPr>
            <w:tcW w:type="pct" w:w="30%"/>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Andres Felipe Bernal Osorio</w:t>
            </w:r>
          </w:p>
        </w:tc>
        <w:tc>
          <w:tcPr>
            <w:tcW w:type="pct" w:w="18%"/>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300 863 5051</w:t>
            </w:r>
          </w:p>
        </w:tc>
        <w:tc>
          <w:tcPr>
            <w:tcW w:type="pct" w:w="27%"/>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Andresb02022002@gmail.com</w:t>
            </w:r>
          </w:p>
        </w:tc>
        <w:tc>
          <w:tcPr>
            <w:tcW w:type="pct" w:w="20%"/>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Contaduría publica</w:t>
            </w:r>
          </w:p>
        </w:tc>
      </w:tr>
      <w:tr>
        <w:tc>
          <w:tcPr>
            <w:tcW w:type="pct" w:w="5%"/>
            <w:tcBorders>
              <w:top w:val="single" w:color="CBD5E1" w:sz="4"/>
              <w:left w:val="single" w:color="CBD5E1" w:sz="4"/>
              <w:bottom w:val="single" w:color="CBD5E1" w:sz="4"/>
              <w:right w:val="single" w:color="CBD5E1" w:sz="4"/>
            </w:tcBorders>
            <w:shd w:fill="F8FAFC"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2</w:t>
            </w:r>
          </w:p>
        </w:tc>
        <w:tc>
          <w:tcPr>
            <w:tcW w:type="pct" w:w="30%"/>
            <w:tcBorders>
              <w:top w:val="single" w:color="CBD5E1" w:sz="4"/>
              <w:left w:val="single" w:color="CBD5E1" w:sz="4"/>
              <w:bottom w:val="single" w:color="CBD5E1" w:sz="4"/>
              <w:right w:val="single" w:color="CBD5E1" w:sz="4"/>
            </w:tcBorders>
            <w:shd w:fill="F8FAFC"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
            </w:r>
          </w:p>
        </w:tc>
        <w:tc>
          <w:tcPr>
            <w:tcW w:type="pct" w:w="18%"/>
            <w:tcBorders>
              <w:top w:val="single" w:color="CBD5E1" w:sz="4"/>
              <w:left w:val="single" w:color="CBD5E1" w:sz="4"/>
              <w:bottom w:val="single" w:color="CBD5E1" w:sz="4"/>
              <w:right w:val="single" w:color="CBD5E1" w:sz="4"/>
            </w:tcBorders>
            <w:shd w:fill="F8FAFC"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
            </w:r>
          </w:p>
        </w:tc>
        <w:tc>
          <w:tcPr>
            <w:tcW w:type="pct" w:w="27%"/>
            <w:tcBorders>
              <w:top w:val="single" w:color="CBD5E1" w:sz="4"/>
              <w:left w:val="single" w:color="CBD5E1" w:sz="4"/>
              <w:bottom w:val="single" w:color="CBD5E1" w:sz="4"/>
              <w:right w:val="single" w:color="CBD5E1" w:sz="4"/>
            </w:tcBorders>
            <w:shd w:fill="F8FAFC"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
            </w:r>
          </w:p>
        </w:tc>
        <w:tc>
          <w:tcPr>
            <w:tcW w:type="pct" w:w="20%"/>
            <w:tcBorders>
              <w:top w:val="single" w:color="CBD5E1" w:sz="4"/>
              <w:left w:val="single" w:color="CBD5E1" w:sz="4"/>
              <w:bottom w:val="single" w:color="CBD5E1" w:sz="4"/>
              <w:right w:val="single" w:color="CBD5E1" w:sz="4"/>
            </w:tcBorders>
            <w:shd w:fill="F8FAFC"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
            </w:r>
          </w:p>
        </w:tc>
      </w:tr>
      <w:tr>
        <w:tc>
          <w:tcPr>
            <w:tcW w:type="pct" w:w="5%"/>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3</w:t>
            </w:r>
          </w:p>
        </w:tc>
        <w:tc>
          <w:tcPr>
            <w:tcW w:type="pct" w:w="30%"/>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
            </w:r>
          </w:p>
        </w:tc>
        <w:tc>
          <w:tcPr>
            <w:tcW w:type="pct" w:w="18%"/>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
            </w:r>
          </w:p>
        </w:tc>
        <w:tc>
          <w:tcPr>
            <w:tcW w:type="pct" w:w="27%"/>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
            </w:r>
          </w:p>
        </w:tc>
        <w:tc>
          <w:tcPr>
            <w:tcW w:type="pct" w:w="20%"/>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
            </w:r>
          </w:p>
        </w:tc>
      </w:tr>
      <w:tr>
        <w:tc>
          <w:tcPr>
            <w:tcW w:type="pct" w:w="5%"/>
            <w:tcBorders>
              <w:top w:val="single" w:color="CBD5E1" w:sz="4"/>
              <w:left w:val="single" w:color="CBD5E1" w:sz="4"/>
              <w:bottom w:val="single" w:color="CBD5E1" w:sz="4"/>
              <w:right w:val="single" w:color="CBD5E1" w:sz="4"/>
            </w:tcBorders>
            <w:shd w:fill="F8FAFC"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4</w:t>
            </w:r>
          </w:p>
        </w:tc>
        <w:tc>
          <w:tcPr>
            <w:tcW w:type="pct" w:w="30%"/>
            <w:tcBorders>
              <w:top w:val="single" w:color="CBD5E1" w:sz="4"/>
              <w:left w:val="single" w:color="CBD5E1" w:sz="4"/>
              <w:bottom w:val="single" w:color="CBD5E1" w:sz="4"/>
              <w:right w:val="single" w:color="CBD5E1" w:sz="4"/>
            </w:tcBorders>
            <w:shd w:fill="F8FAFC"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
            </w:r>
          </w:p>
        </w:tc>
        <w:tc>
          <w:tcPr>
            <w:tcW w:type="pct" w:w="18%"/>
            <w:tcBorders>
              <w:top w:val="single" w:color="CBD5E1" w:sz="4"/>
              <w:left w:val="single" w:color="CBD5E1" w:sz="4"/>
              <w:bottom w:val="single" w:color="CBD5E1" w:sz="4"/>
              <w:right w:val="single" w:color="CBD5E1" w:sz="4"/>
            </w:tcBorders>
            <w:shd w:fill="F8FAFC"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
            </w:r>
          </w:p>
        </w:tc>
        <w:tc>
          <w:tcPr>
            <w:tcW w:type="pct" w:w="27%"/>
            <w:tcBorders>
              <w:top w:val="single" w:color="CBD5E1" w:sz="4"/>
              <w:left w:val="single" w:color="CBD5E1" w:sz="4"/>
              <w:bottom w:val="single" w:color="CBD5E1" w:sz="4"/>
              <w:right w:val="single" w:color="CBD5E1" w:sz="4"/>
            </w:tcBorders>
            <w:shd w:fill="F8FAFC"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
            </w:r>
          </w:p>
        </w:tc>
        <w:tc>
          <w:tcPr>
            <w:tcW w:type="pct" w:w="20%"/>
            <w:tcBorders>
              <w:top w:val="single" w:color="CBD5E1" w:sz="4"/>
              <w:left w:val="single" w:color="CBD5E1" w:sz="4"/>
              <w:bottom w:val="single" w:color="CBD5E1" w:sz="4"/>
              <w:right w:val="single" w:color="CBD5E1" w:sz="4"/>
            </w:tcBorders>
            <w:shd w:fill="F8FAFC"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
            </w:r>
          </w:p>
        </w:tc>
      </w:tr>
      <w:tr>
        <w:tc>
          <w:tcPr>
            <w:tcW w:type="pct" w:w="5%"/>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5</w:t>
            </w:r>
          </w:p>
        </w:tc>
        <w:tc>
          <w:tcPr>
            <w:tcW w:type="pct" w:w="30%"/>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
            </w:r>
          </w:p>
        </w:tc>
        <w:tc>
          <w:tcPr>
            <w:tcW w:type="pct" w:w="18%"/>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
            </w:r>
          </w:p>
        </w:tc>
        <w:tc>
          <w:tcPr>
            <w:tcW w:type="pct" w:w="27%"/>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
            </w:r>
          </w:p>
        </w:tc>
        <w:tc>
          <w:tcPr>
            <w:tcW w:type="pct" w:w="20%"/>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
            </w:r>
          </w:p>
        </w:tc>
      </w:tr>
    </w:tbl>
    <w:p>
      <w:pPr>
        <w:spacing w:after="60" w:before="60"/>
      </w:pPr>
    </w:p>
    <w:p>
      <w:pPr>
        <w:spacing w:after="60" w:before="120"/>
      </w:pPr>
      <w:r>
        <w:rPr>
          <w:rFonts w:ascii="Calibri" w:cs="Calibri" w:eastAsia="Calibri" w:hAnsi="Calibri"/>
          <w:b/>
          <w:bCs/>
          <w:i w:val="false"/>
          <w:iCs w:val="false"/>
          <w:color w:val="0F172A"/>
          <w:sz w:val="22"/>
          <w:szCs w:val="22"/>
        </w:rPr>
        <w:t xml:space="preserve">Nombre o Título del Plan de Negocio:</w:t>
      </w:r>
      <w:r>
        <w:rPr>
          <w:rFonts w:ascii="Calibri" w:cs="Calibri" w:eastAsia="Calibri" w:hAnsi="Calibri"/>
          <w:b w:val="false"/>
          <w:bCs w:val="false"/>
          <w:i w:val="false"/>
          <w:iCs w:val="false"/>
          <w:color w:val="0F172A"/>
          <w:sz w:val="22"/>
          <w:szCs w:val="22"/>
        </w:rPr>
        <w:t xml:space="preserve">  TributoApp S.A.S. — Plataforma SaaS de Monitoreo Tributario y Alertas Preventivas de Vencimientos DIAN</w:t>
      </w:r>
    </w:p>
    <w:p>
      <w:pPr>
        <w:pStyle w:val="Heading1"/>
        <w:pBdr>
          <w:bottom w:val="single" w:color="0284C7" w:sz="12" w:space="4"/>
        </w:pBdr>
        <w:spacing w:after="160" w:before="400"/>
      </w:pPr>
      <w:r>
        <w:rPr>
          <w:rFonts w:ascii="Calibri" w:cs="Calibri" w:eastAsia="Calibri" w:hAnsi="Calibri"/>
          <w:b/>
          <w:bCs/>
          <w:i w:val="false"/>
          <w:iCs w:val="false"/>
          <w:color w:val="1E2A5A"/>
          <w:sz w:val="26"/>
          <w:szCs w:val="26"/>
        </w:rPr>
        <w:t xml:space="preserve">1.1 DESCRIPCIÓN DEL NEGOCIO</w:t>
      </w:r>
    </w:p>
    <w:p>
      <w:pPr>
        <w:spacing w:after="120" w:before="80" w:line="276"/>
        <w:jc w:val="both"/>
      </w:pPr>
      <w:r>
        <w:rPr>
          <w:rFonts w:ascii="Calibri" w:cs="Calibri" w:eastAsia="Calibri" w:hAnsi="Calibri"/>
          <w:b w:val="false"/>
          <w:bCs w:val="false"/>
          <w:i w:val="false"/>
          <w:iCs w:val="false"/>
          <w:color w:val="0F172A"/>
          <w:sz w:val="22"/>
          <w:szCs w:val="22"/>
        </w:rPr>
        <w:t xml:space="preserve">TributoApp S.A.S. es una empresa de base tecnológica que desarrolla y opera una plataforma de software en la nube (SaaS — Software as a Service) especializada en el monitoreo y notificación de obligaciones tributarias en Colombia. La plataforma presta un Servicio Profesional Digital: registra el Número de Identificación Tributaria (NIT) o cédula de cada contribuyente, cruza automáticamente el último dígito con el calendario oficial de la DIAN y envia alertas preventivas progresivas por correo electrónico cuando faltan 3, 2, 1 día(s) y el mismo día de vencimiento de cada obligación fiscal.</w:t>
      </w:r>
    </w:p>
    <w:p>
      <w:pPr>
        <w:spacing w:after="120" w:before="80" w:line="276"/>
        <w:jc w:val="both"/>
      </w:pPr>
      <w:r>
        <w:rPr>
          <w:rFonts w:ascii="Calibri" w:cs="Calibri" w:eastAsia="Calibri" w:hAnsi="Calibri"/>
          <w:b w:val="false"/>
          <w:bCs w:val="false"/>
          <w:i w:val="false"/>
          <w:iCs w:val="false"/>
          <w:color w:val="0F172A"/>
          <w:sz w:val="22"/>
          <w:szCs w:val="22"/>
        </w:rPr>
        <w:t xml:space="preserve">Los servicios que se proveen son:</w:t>
      </w:r>
    </w:p>
    <w:p>
      <w:pPr>
        <w:spacing w:after="40" w:before="60" w:line="276"/>
        <w:ind w:left="360"/>
        <w:jc w:val="both"/>
      </w:pPr>
      <w:r>
        <w:rPr>
          <w:rFonts w:ascii="Calibri" w:cs="Calibri" w:eastAsia="Calibri" w:hAnsi="Calibri"/>
          <w:b w:val="false"/>
          <w:bCs w:val="false"/>
          <w:i w:val="false"/>
          <w:iCs w:val="false"/>
          <w:color w:val="0F172A"/>
          <w:sz w:val="22"/>
          <w:szCs w:val="22"/>
        </w:rPr>
        <w:t xml:space="preserve">a) Monitoreo automatizado del calendario tributario DIAN por NIT registrado.</w:t>
      </w:r>
    </w:p>
    <w:p>
      <w:pPr>
        <w:spacing w:after="40" w:before="40" w:line="276"/>
        <w:ind w:left="360"/>
        <w:jc w:val="both"/>
      </w:pPr>
      <w:r>
        <w:rPr>
          <w:rFonts w:ascii="Calibri" w:cs="Calibri" w:eastAsia="Calibri" w:hAnsi="Calibri"/>
          <w:b w:val="false"/>
          <w:bCs w:val="false"/>
          <w:i w:val="false"/>
          <w:iCs w:val="false"/>
          <w:color w:val="0F172A"/>
          <w:sz w:val="22"/>
          <w:szCs w:val="22"/>
        </w:rPr>
        <w:t xml:space="preserve">b) Alertas preventivas progresivas por correo electrónico (Día 3, Día 2, Día 1 y Día de Vencimiento).</w:t>
      </w:r>
    </w:p>
    <w:p>
      <w:pPr>
        <w:spacing w:after="40" w:before="40" w:line="276"/>
        <w:ind w:left="360"/>
        <w:jc w:val="both"/>
      </w:pPr>
      <w:r>
        <w:rPr>
          <w:rFonts w:ascii="Calibri" w:cs="Calibri" w:eastAsia="Calibri" w:hAnsi="Calibri"/>
          <w:b w:val="false"/>
          <w:bCs w:val="false"/>
          <w:i w:val="false"/>
          <w:iCs w:val="false"/>
          <w:color w:val="0F172A"/>
          <w:sz w:val="22"/>
          <w:szCs w:val="22"/>
        </w:rPr>
        <w:t xml:space="preserve">c) Interfaz interactivo con visualización de obligaciones próximas, vencidas y cumplidas.</w:t>
      </w:r>
    </w:p>
    <w:p>
      <w:pPr>
        <w:spacing w:after="40" w:before="40" w:line="276"/>
        <w:ind w:left="360"/>
        <w:jc w:val="both"/>
      </w:pPr>
      <w:r>
        <w:rPr>
          <w:rFonts w:ascii="Calibri" w:cs="Calibri" w:eastAsia="Calibri" w:hAnsi="Calibri"/>
          <w:b w:val="false"/>
          <w:bCs w:val="false"/>
          <w:i w:val="false"/>
          <w:iCs w:val="false"/>
          <w:color w:val="0F172A"/>
          <w:sz w:val="22"/>
          <w:szCs w:val="22"/>
        </w:rPr>
        <w:t xml:space="preserve">d) Gestión multicliente: un contador puede registrar y monitorear múltiples NITs desde una sola cuenta.</w:t>
      </w:r>
    </w:p>
    <w:p>
      <w:pPr>
        <w:spacing w:after="40" w:before="40" w:line="276"/>
        <w:ind w:left="360"/>
        <w:jc w:val="both"/>
      </w:pPr>
      <w:r>
        <w:rPr>
          <w:rFonts w:ascii="Calibri" w:cs="Calibri" w:eastAsia="Calibri" w:hAnsi="Calibri"/>
          <w:b w:val="false"/>
          <w:bCs w:val="false"/>
          <w:i w:val="false"/>
          <w:iCs w:val="false"/>
          <w:color w:val="0F172A"/>
          <w:sz w:val="22"/>
          <w:szCs w:val="22"/>
        </w:rPr>
        <w:t xml:space="preserve">e) Calculadora de Sanciones e Intereses Moratorios: herramienta integrada que liquida automáticamente la sanción por extemporaneidad (Art. 641 E.T. — mínimo $524.000 COP) más los intereses moratorios (Art. 634 E.T.) según la fecha de vencimiento y la fecha de pago ingresada por el usuario, para que el contribuyente conozca el costo exacto del incumplimiento antes de tomar decisiones.</w:t>
      </w:r>
    </w:p>
    <w:p>
      <w:pPr>
        <w:spacing w:after="40" w:before="40" w:line="276"/>
        <w:ind w:left="360"/>
        <w:jc w:val="both"/>
      </w:pPr>
      <w:r>
        <w:rPr>
          <w:rFonts w:ascii="Calibri" w:cs="Calibri" w:eastAsia="Calibri" w:hAnsi="Calibri"/>
          <w:b w:val="false"/>
          <w:bCs w:val="false"/>
          <w:i w:val="false"/>
          <w:iCs w:val="false"/>
          <w:color w:val="0F172A"/>
          <w:sz w:val="22"/>
          <w:szCs w:val="22"/>
        </w:rPr>
        <w:t xml:space="preserve">f) Plantillas Power BI — Cruce de Anticipos: reporte interactivo que permite al contador cruzar los anticipos pagados a terceros.</w:t>
      </w:r>
    </w:p>
    <w:p>
      <w:pPr>
        <w:spacing w:after="120" w:before="40" w:line="276"/>
        <w:ind w:left="360"/>
        <w:jc w:val="both"/>
      </w:pPr>
      <w:r>
        <w:rPr>
          <w:rFonts w:ascii="Calibri" w:cs="Calibri" w:eastAsia="Calibri" w:hAnsi="Calibri"/>
          <w:b w:val="false"/>
          <w:bCs w:val="false"/>
          <w:i w:val="false"/>
          <w:iCs w:val="false"/>
          <w:color w:val="0F172A"/>
          <w:sz w:val="22"/>
          <w:szCs w:val="22"/>
        </w:rPr>
        <w:t xml:space="preserve">g) Plantillas Power BI — Reporte DIAN vs. Contabilidad: tablero de conciliación que confronta las facturas recibidas ante la DIAN con los registros del sistema contable interno de la empresa, detectando inconsistencias y facilitando la revisión.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none"/>
              <w:left w:val="single" w:color="0284C7" w:sz="20"/>
              <w:bottom w:val="none"/>
              <w:right w:val="none"/>
            </w:tcBorders>
            <w:shd w:fill="EFF6FF" w:val="clear"/>
            <w:tcMar>
              <w:top w:type="dxa" w:w="100"/>
              <w:left w:type="dxa" w:w="140"/>
              <w:bottom w:type="dxa" w:w="100"/>
              <w:right w:type="dxa" w:w="120"/>
            </w:tcMar>
          </w:tcPr>
          <w:p>
            <w:r>
              <w:rPr>
                <w:rFonts w:ascii="Calibri" w:cs="Calibri" w:eastAsia="Calibri" w:hAnsi="Calibri"/>
                <w:b w:val="false"/>
                <w:bCs w:val="false"/>
                <w:i/>
                <w:iCs/>
                <w:color w:val="1E3A5F"/>
                <w:sz w:val="20"/>
                <w:szCs w:val="20"/>
              </w:rPr>
              <w:t xml:space="preserve">Clasificación del servicio: Servicio Profesional, en la categoría de Asesoría Tributaria Digital y Tecnología de la Información (CIIU 6201 — Actividades de desarrollo de sistemas lógicos / software).</w:t>
            </w:r>
          </w:p>
        </w:tc>
      </w:tr>
    </w:tbl>
    <w:p>
      <w:pPr>
        <w:pStyle w:val="Heading1"/>
        <w:pBdr>
          <w:bottom w:val="single" w:color="0284C7" w:sz="12" w:space="4"/>
        </w:pBdr>
        <w:spacing w:after="160" w:before="400"/>
      </w:pPr>
      <w:r>
        <w:rPr>
          <w:rFonts w:ascii="Calibri" w:cs="Calibri" w:eastAsia="Calibri" w:hAnsi="Calibri"/>
          <w:b/>
          <w:bCs/>
          <w:i w:val="false"/>
          <w:iCs w:val="false"/>
          <w:color w:val="1E2A5A"/>
          <w:sz w:val="26"/>
          <w:szCs w:val="26"/>
        </w:rPr>
        <w:t xml:space="preserve">1.2 JUSTIFICACIÓN Y ANTECEDENTES DEL PLAN DE NEGOCIO</w:t>
      </w:r>
    </w:p>
    <w:p>
      <w:pPr>
        <w:pStyle w:val="Heading3"/>
        <w:spacing w:after="80" w:before="200"/>
      </w:pPr>
      <w:r>
        <w:rPr>
          <w:rFonts w:ascii="Calibri" w:cs="Calibri" w:eastAsia="Calibri" w:hAnsi="Calibri"/>
          <w:b/>
          <w:bCs/>
          <w:i w:val="false"/>
          <w:iCs w:val="false"/>
          <w:color w:val="0F172A"/>
          <w:sz w:val="22"/>
          <w:szCs w:val="22"/>
        </w:rPr>
        <w:t xml:space="preserve">Contexto nacional y necesidad del mercado</w:t>
      </w:r>
    </w:p>
    <w:p>
      <w:pPr>
        <w:spacing w:after="120" w:before="80" w:line="276"/>
        <w:jc w:val="both"/>
      </w:pPr>
      <w:r>
        <w:rPr>
          <w:rFonts w:ascii="Calibri" w:cs="Calibri" w:eastAsia="Calibri" w:hAnsi="Calibri"/>
          <w:b w:val="false"/>
          <w:bCs w:val="false"/>
          <w:i w:val="false"/>
          <w:iCs w:val="false"/>
          <w:color w:val="0F172A"/>
          <w:sz w:val="22"/>
          <w:szCs w:val="22"/>
        </w:rPr>
        <w:t xml:space="preserve">Colombia cuenta con uno de los sistemas tributarios más complejos y cambiantes de América Latina. Desde el año 2000, el Congreso de la República ha aprobado más de 12 reformas tributarias, que incluyen la Ley 1943 de 2018 (Ley de Financiamiento), la Ley 2010 de 2019 (Ley de Crecimiento Económico), la Ley 2155 de 2021 (Solidaridad Sostenible) y la Ley 2277 de 2022 (Reforma Tributaria del gobierno Petro). Cada reforma modifica tarifas, periodos de declaración y fechas límite, lo que obliga a empresas y contadores a estar en constante actualización.</w:t>
      </w:r>
    </w:p>
    <w:p>
      <w:pPr>
        <w:spacing w:after="120" w:before="80" w:line="276"/>
        <w:jc w:val="both"/>
      </w:pPr>
      <w:r>
        <w:rPr>
          <w:rFonts w:ascii="Calibri" w:cs="Calibri" w:eastAsia="Calibri" w:hAnsi="Calibri"/>
          <w:b w:val="false"/>
          <w:bCs w:val="false"/>
          <w:i w:val="false"/>
          <w:iCs w:val="false"/>
          <w:color w:val="0F172A"/>
          <w:sz w:val="22"/>
          <w:szCs w:val="22"/>
        </w:rPr>
        <w:t xml:space="preserve">De acuerdo con el Estatuto Tributario (Art. 641), la presentación extemporánea de una declaración genera una sanción mínima que para 2025 supera los $524.000 COP por declaración, a la que se suman intereses moratorios liquidados con la tasa de usura fijada por la Superintendencia Financiera (alrededor del 28% EA en 2024). Para una pequeña empresa con cuatro obligaciones mensuales promedio (Retención en la fuente, IVA, ICA, renta), un solo descuido puede representar pérdidas de más de $2.100.000 COP en un mes.</w:t>
      </w:r>
    </w:p>
    <w:p>
      <w:pPr>
        <w:pStyle w:val="Heading3"/>
        <w:spacing w:after="80" w:before="200"/>
      </w:pPr>
      <w:r>
        <w:rPr>
          <w:rFonts w:ascii="Calibri" w:cs="Calibri" w:eastAsia="Calibri" w:hAnsi="Calibri"/>
          <w:b/>
          <w:bCs/>
          <w:i w:val="false"/>
          <w:iCs w:val="false"/>
          <w:color w:val="0F172A"/>
          <w:sz w:val="22"/>
          <w:szCs w:val="22"/>
        </w:rPr>
        <w:t xml:space="preserve">Situación actual en Barranquilla y la región Caribe</w:t>
      </w:r>
    </w:p>
    <w:p>
      <w:pPr>
        <w:spacing w:after="120" w:before="80" w:line="276"/>
        <w:jc w:val="both"/>
      </w:pPr>
      <w:r>
        <w:rPr>
          <w:rFonts w:ascii="Calibri" w:cs="Calibri" w:eastAsia="Calibri" w:hAnsi="Calibri"/>
          <w:b w:val="false"/>
          <w:bCs w:val="false"/>
          <w:i w:val="false"/>
          <w:iCs w:val="false"/>
          <w:color w:val="0F172A"/>
          <w:sz w:val="22"/>
          <w:szCs w:val="22"/>
        </w:rPr>
        <w:t xml:space="preserve">Barranquilla es el principal centro empresarial del Caribe colombiano y la cuarta ciudad más grande del país. Según la Cámara de Comercio de Barranquilla (2023), el Departamento del Atlántico concentra más de 97.000 empresas formalmente registradas. Sin embargo, la gran mayoría son microempresas (89%) con capacidad limitada de contratar un contador de planta. Estas empresas dependen de contadores independientes que, en promedio, atienden entre 20 y 30 clientes simultáneamente, lo que convierte el seguimiento manual de calendarios tributarios en una tarea de alto riesgo operativo.</w:t>
      </w:r>
    </w:p>
    <w:p>
      <w:pPr>
        <w:spacing w:after="120" w:before="80" w:line="276"/>
        <w:jc w:val="both"/>
      </w:pPr>
      <w:r>
        <w:rPr>
          <w:rFonts w:ascii="Calibri" w:cs="Calibri" w:eastAsia="Calibri" w:hAnsi="Calibri"/>
          <w:b w:val="false"/>
          <w:bCs w:val="false"/>
          <w:i w:val="false"/>
          <w:iCs w:val="false"/>
          <w:color w:val="0F172A"/>
          <w:sz w:val="22"/>
          <w:szCs w:val="22"/>
        </w:rPr>
        <w:t xml:space="preserve">La zona cuenta con buena infraestructura de telecomunicaciones (fibra óptica en los estratos 3 al 6), lo que favorece la adopción de soluciones en la nube. El ecosistema StartUp Barranquilla (respaldado por ProBarranquilla y el Clúster de Software del Atlántico) ofrece un entorno propicio para empresas de base tecnológica como TributoApp S.A.S.</w:t>
      </w:r>
    </w:p>
    <w:p>
      <w:pPr>
        <w:pStyle w:val="Heading3"/>
        <w:spacing w:after="80" w:before="200"/>
      </w:pPr>
      <w:r>
        <w:rPr>
          <w:rFonts w:ascii="Calibri" w:cs="Calibri" w:eastAsia="Calibri" w:hAnsi="Calibri"/>
          <w:b/>
          <w:bCs/>
          <w:i w:val="false"/>
          <w:iCs w:val="false"/>
          <w:color w:val="0F172A"/>
          <w:sz w:val="22"/>
          <w:szCs w:val="22"/>
        </w:rPr>
        <w:t xml:space="preserve">Antecedentes y referentes del mercado</w:t>
      </w:r>
    </w:p>
    <w:p>
      <w:pPr>
        <w:spacing w:after="120" w:before="80" w:line="276"/>
        <w:jc w:val="both"/>
      </w:pPr>
      <w:r>
        <w:rPr>
          <w:rFonts w:ascii="Calibri" w:cs="Calibri" w:eastAsia="Calibri" w:hAnsi="Calibri"/>
          <w:b w:val="false"/>
          <w:bCs w:val="false"/>
          <w:i w:val="false"/>
          <w:iCs w:val="false"/>
          <w:color w:val="0F172A"/>
          <w:sz w:val="22"/>
          <w:szCs w:val="22"/>
        </w:rPr>
        <w:t xml:space="preserve">En el ámbito internacional, plataformas como TaxJar (EE.UU.), Avalara (EE.UU.) y Contasimple (España) han demostrado que el modelo SaaS de cumplimiento tributario es altamente escalable y rentable. En Colombia, soluciones como Siigo y Alegra ofrecen contabilidad completa, pero ninguna está enfocada exclusivamente en la alerta preventiva de vencimientos a bajo costo. Esta brecha específica es la que TributoApp S.A.S. viene a cerrar.</w:t>
      </w:r>
    </w:p>
    <w:p>
      <w:pPr>
        <w:spacing w:after="120" w:before="80" w:line="276"/>
        <w:jc w:val="both"/>
      </w:pPr>
      <w:r>
        <w:rPr>
          <w:rFonts w:ascii="Calibri" w:cs="Calibri" w:eastAsia="Calibri" w:hAnsi="Calibri"/>
          <w:b w:val="false"/>
          <w:bCs w:val="false"/>
          <w:i w:val="false"/>
          <w:iCs w:val="false"/>
          <w:color w:val="0F172A"/>
          <w:sz w:val="22"/>
          <w:szCs w:val="22"/>
        </w:rPr>
        <w:t xml:space="preserve">Una experiencia previa relevante fue la observación directa de sanciones pagadas por microempresarios en Barranquilla durante el período 2022–2024, que en varios casos oscilaron entre $500.000 y $1.500.000 COP por olvidos de fechas, sanciones que en todos los casos eran completamente evitables con un recordatorio oportuno.</w:t>
      </w:r>
    </w:p>
    <w:p>
      <w:pPr>
        <w:pStyle w:val="Heading3"/>
        <w:spacing w:after="80" w:before="200"/>
      </w:pPr>
      <w:r>
        <w:rPr>
          <w:rFonts w:ascii="Calibri" w:cs="Calibri" w:eastAsia="Calibri" w:hAnsi="Calibri"/>
          <w:b/>
          <w:bCs/>
          <w:i w:val="false"/>
          <w:iCs w:val="false"/>
          <w:color w:val="0F172A"/>
          <w:sz w:val="22"/>
          <w:szCs w:val="22"/>
        </w:rPr>
        <w:t xml:space="preserve">Normatividad vigente</w:t>
      </w:r>
    </w:p>
    <w:p>
      <w:pPr>
        <w:spacing w:after="120" w:before="80" w:line="276"/>
        <w:jc w:val="both"/>
      </w:pPr>
      <w:r>
        <w:rPr>
          <w:rFonts w:ascii="Calibri" w:cs="Calibri" w:eastAsia="Calibri" w:hAnsi="Calibri"/>
          <w:b w:val="false"/>
          <w:bCs w:val="false"/>
          <w:i w:val="false"/>
          <w:iCs w:val="false"/>
          <w:color w:val="0F172A"/>
          <w:sz w:val="22"/>
          <w:szCs w:val="22"/>
        </w:rPr>
        <w:t xml:space="preserve">La operación de TributoApp S.A.S. está enmarcada en: (1) Estatuto Tributario colombiano (Decreto 624 de 1989 y sus reformas); (2) Ley 1266 de 2008 y Ley 1581 de 2012, sobre protección de datos personales (Habeas Data); (3) Ley 1258 de 2008, sobre constitución de Sociedades por Acciones Simplificadas; (4) Resoluciones DIAN sobre facturación electrónica y nómina electrónica; (5) Política Nacional de Transformación Digital — CONPES 3975 de 2019, que promueve la adopción de tecnología en las empresas colombianas.</w:t>
      </w:r>
    </w:p>
    <w:p>
      <w:pPr>
        <w:spacing w:after="120" w:before="80" w:line="276"/>
        <w:jc w:val="both"/>
      </w:pPr>
      <w:r>
        <w:rPr>
          <w:rFonts w:ascii="Calibri" w:cs="Calibri" w:eastAsia="Calibri" w:hAnsi="Calibri"/>
          <w:b w:val="false"/>
          <w:bCs w:val="false"/>
          <w:i w:val="false"/>
          <w:iCs w:val="false"/>
          <w:color w:val="0F172A"/>
          <w:sz w:val="22"/>
          <w:szCs w:val="22"/>
        </w:rPr>
        <w:t xml:space="preserve">El entorno político-regulatorio es favorable: el gobierno nacional a través del MinTIC ha promovido con fuerza la digitalización empresarial y la educación financiera, lo que genera una demanda creciente por soluciones como la que ofrece TributoApp.</w:t>
      </w:r>
    </w:p>
    <w:p>
      <w:pPr>
        <w:pStyle w:val="Heading1"/>
        <w:pBdr>
          <w:bottom w:val="single" w:color="0284C7" w:sz="12" w:space="4"/>
        </w:pBdr>
        <w:spacing w:after="160" w:before="400"/>
      </w:pPr>
      <w:r>
        <w:rPr>
          <w:rFonts w:ascii="Calibri" w:cs="Calibri" w:eastAsia="Calibri" w:hAnsi="Calibri"/>
          <w:b/>
          <w:bCs/>
          <w:i w:val="false"/>
          <w:iCs w:val="false"/>
          <w:color w:val="1E2A5A"/>
          <w:sz w:val="26"/>
          <w:szCs w:val="26"/>
        </w:rPr>
        <w:t xml:space="preserve">2. ANÁLISIS DEL MERCADO</w:t>
      </w:r>
    </w:p>
    <w:p>
      <w:pPr>
        <w:pStyle w:val="Heading2"/>
        <w:spacing w:after="120" w:before="280"/>
      </w:pPr>
      <w:r>
        <w:rPr>
          <w:rFonts w:ascii="Calibri" w:cs="Calibri" w:eastAsia="Calibri" w:hAnsi="Calibri"/>
          <w:b/>
          <w:bCs/>
          <w:i w:val="false"/>
          <w:iCs w:val="false"/>
          <w:color w:val="0284C7"/>
          <w:sz w:val="24"/>
          <w:szCs w:val="24"/>
        </w:rPr>
        <w:t xml:space="preserve">Análisis del Sector</w:t>
      </w:r>
    </w:p>
    <w:p>
      <w:pPr>
        <w:spacing w:after="120" w:before="80" w:line="276"/>
        <w:jc w:val="both"/>
      </w:pPr>
      <w:r>
        <w:rPr>
          <w:rFonts w:ascii="Calibri" w:cs="Calibri" w:eastAsia="Calibri" w:hAnsi="Calibri"/>
          <w:b w:val="false"/>
          <w:bCs w:val="false"/>
          <w:i w:val="false"/>
          <w:iCs w:val="false"/>
          <w:color w:val="0F172A"/>
          <w:sz w:val="22"/>
          <w:szCs w:val="22"/>
        </w:rPr>
        <w:t xml:space="preserve">El sector de software en la nube (SaaS) en Colombia ha crecido a una tasa anual compuesta del 23,4% entre 2021 y 2024, impulsado por la digitalización obligatoria de la facturación electrónica (Resolución DIAN 000042/2020) y la nómina electrónica (Decreto 1601/2021). Se proyecta que para 2027 el mercado colombiano de software empresarial SaaS superará los USD 1.200 millones (MinTIC / IDC Colombia 2023). En el segmento LegalTech y Tax Tech, la tendencia global confirma una demanda sostenida, impulsada por la obligatoriedad de cumplimiento tributario y la escasez de contadores especializados.</w:t>
      </w:r>
    </w:p>
    <w:p>
      <w:pPr>
        <w:pStyle w:val="Heading2"/>
        <w:spacing w:after="120" w:before="280"/>
      </w:pPr>
      <w:r>
        <w:rPr>
          <w:rFonts w:ascii="Calibri" w:cs="Calibri" w:eastAsia="Calibri" w:hAnsi="Calibri"/>
          <w:b/>
          <w:bCs/>
          <w:i w:val="false"/>
          <w:iCs w:val="false"/>
          <w:color w:val="0284C7"/>
          <w:sz w:val="24"/>
          <w:szCs w:val="24"/>
        </w:rPr>
        <w:t xml:space="preserve">Análisis de Mercado</w:t>
      </w:r>
    </w:p>
    <w:p>
      <w:pPr>
        <w:spacing w:after="120" w:before="80" w:line="276"/>
        <w:jc w:val="both"/>
      </w:pPr>
      <w:r>
        <w:rPr>
          <w:rFonts w:ascii="Calibri" w:cs="Calibri" w:eastAsia="Calibri" w:hAnsi="Calibri"/>
          <w:b w:val="false"/>
          <w:bCs w:val="false"/>
          <w:i w:val="false"/>
          <w:iCs w:val="false"/>
          <w:color w:val="0F172A"/>
          <w:sz w:val="22"/>
          <w:szCs w:val="22"/>
        </w:rPr>
        <w:t xml:space="preserve">El mercado nacional presenta más de 1.700.000 empresas registradas en el RUES (Registro Único Empresarial y Social) y aproximadamente 4.800.000 declarantes del impuesto de renta de personas naturales. A esto se suman más de 320.000 contadores públicos matriculados ante la Junta Central de Contadores. El mercado objetivo inicial de TributoApp son las ciudades intermedias y grandes con alta concentración de MiPyMEs y firmas contables (Barranquilla, Bogotá, Medellín, Cali, Bucaramanga y Cartagena). No existen productos sustitutos directos de bajo costo enfocados exclusivamente en la alerta preventiva de vencimientos por NIT. Los competidores complementarios son los softwares contables (Siigo, Alegra) que el contador ya usa, y con los que TributoApp convive sin reemplazarlos.</w:t>
      </w:r>
    </w:p>
    <w:p>
      <w:pPr>
        <w:pStyle w:val="Heading2"/>
        <w:spacing w:after="120" w:before="280"/>
      </w:pPr>
      <w:r>
        <w:rPr>
          <w:rFonts w:ascii="Calibri" w:cs="Calibri" w:eastAsia="Calibri" w:hAnsi="Calibri"/>
          <w:b/>
          <w:bCs/>
          <w:i w:val="false"/>
          <w:iCs w:val="false"/>
          <w:color w:val="0284C7"/>
          <w:sz w:val="24"/>
          <w:szCs w:val="24"/>
        </w:rPr>
        <w:t xml:space="preserve">2.1 DESCRIPCIÓN DEL PRODUCTO Y/O SERVICIO</w:t>
      </w:r>
    </w:p>
    <w:p>
      <w:pPr>
        <w:spacing w:after="120" w:before="80" w:line="276"/>
        <w:jc w:val="both"/>
      </w:pPr>
      <w:r>
        <w:rPr>
          <w:rFonts w:ascii="Calibri" w:cs="Calibri" w:eastAsia="Calibri" w:hAnsi="Calibri"/>
          <w:b w:val="false"/>
          <w:bCs w:val="false"/>
          <w:i w:val="false"/>
          <w:iCs w:val="false"/>
          <w:color w:val="0F172A"/>
          <w:sz w:val="22"/>
          <w:szCs w:val="22"/>
        </w:rPr>
        <w:t xml:space="preserve">TributoApp S.A.S. ofrece un Servicio Profesional Digital de la subcategoría Asesoría Tributaria Automatizada. Los servicios profesionales son los que involucran conocimiento especializado en un campo de alta complejidad para satisfacer necesidades puntuales de los clientes. En este caso, la complejidad está en el conocimiento normativo tributario colombiano (Estatuto Tributario, Resoluciones DIAN, Acuerdos municipales de ICA) y en la capacidad tecnológica para automatizar su seguimiento.</w:t>
      </w:r>
    </w:p>
    <w:p>
      <w:pPr>
        <w:spacing w:after="120" w:before="80" w:line="276"/>
        <w:jc w:val="both"/>
      </w:pPr>
      <w:r>
        <w:rPr>
          <w:rFonts w:ascii="Calibri" w:cs="Calibri" w:eastAsia="Calibri" w:hAnsi="Calibri"/>
          <w:b w:val="false"/>
          <w:bCs w:val="false"/>
          <w:i w:val="false"/>
          <w:iCs w:val="false"/>
          <w:color w:val="0F172A"/>
          <w:sz w:val="22"/>
          <w:szCs w:val="22"/>
        </w:rPr>
        <w:t xml:space="preserve">El servicio se entrega exclusivamente a través de una plataforma web (https://tributoapp-next.vercel.app) sin instalación de software en el equipo del cliente. La plataforma integra cuatro módulos principales: (1) Alertas automáticas de vencimiento D-3/D-2/D-1/D-0 por correo electrónico; (2) Calculadora de Sanciones e Intereses Moratorios (Art. 641 y 634 del E.T.); (3) Gestión multi-NIT para contadores y firmas; y (4) Plantillas Power BI de Cruce de Anticipos y Reporte DIAN vs. Contabilidad, disponibles en el Plan Empresarial para facilitar la conciliación fiscal de los clientes.</w:t>
      </w:r>
    </w:p>
    <w:p>
      <w:pPr>
        <w:pStyle w:val="Heading2"/>
        <w:spacing w:after="120" w:before="280"/>
      </w:pPr>
      <w:r>
        <w:rPr>
          <w:rFonts w:ascii="Calibri" w:cs="Calibri" w:eastAsia="Calibri" w:hAnsi="Calibri"/>
          <w:b/>
          <w:bCs/>
          <w:i w:val="false"/>
          <w:iCs w:val="false"/>
          <w:color w:val="0284C7"/>
          <w:sz w:val="24"/>
          <w:szCs w:val="24"/>
        </w:rPr>
        <w:t xml:space="preserve">2.2 CARACTERÍSTICAS, ATRIBUTOS Y VENTAJAS DEL PRODUCTO</w:t>
      </w:r>
    </w:p>
    <w:p>
      <w:pPr>
        <w:pStyle w:val="Heading3"/>
        <w:spacing w:after="80" w:before="200"/>
      </w:pPr>
      <w:r>
        <w:rPr>
          <w:rFonts w:ascii="Calibri" w:cs="Calibri" w:eastAsia="Calibri" w:hAnsi="Calibri"/>
          <w:b/>
          <w:bCs/>
          <w:i w:val="false"/>
          <w:iCs w:val="false"/>
          <w:color w:val="0F172A"/>
          <w:sz w:val="22"/>
          <w:szCs w:val="22"/>
        </w:rPr>
        <w:t xml:space="preserve">Características técnicas</w:t>
      </w:r>
    </w:p>
    <w:p>
      <w:pPr>
        <w:spacing w:after="120" w:before="80" w:line="276"/>
        <w:jc w:val="both"/>
      </w:pPr>
      <w:r>
        <w:rPr>
          <w:rFonts w:ascii="Calibri" w:cs="Calibri" w:eastAsia="Calibri" w:hAnsi="Calibri"/>
          <w:b w:val="false"/>
          <w:bCs w:val="false"/>
          <w:i w:val="false"/>
          <w:iCs w:val="false"/>
          <w:color w:val="0F172A"/>
          <w:sz w:val="22"/>
          <w:szCs w:val="22"/>
        </w:rPr>
        <w:t xml:space="preserve">• Plataforma web: accesible desde computador, tablet y celular sin necesidad de instalar ninguna aplicación.</w:t>
      </w:r>
    </w:p>
    <w:p>
      <w:pPr>
        <w:spacing w:after="120" w:before="80" w:line="276"/>
        <w:jc w:val="both"/>
      </w:pPr>
      <w:r>
        <w:rPr>
          <w:rFonts w:ascii="Calibri" w:cs="Calibri" w:eastAsia="Calibri" w:hAnsi="Calibri"/>
          <w:b w:val="false"/>
          <w:bCs w:val="false"/>
          <w:i w:val="false"/>
          <w:iCs w:val="false"/>
          <w:color w:val="0F172A"/>
          <w:sz w:val="22"/>
          <w:szCs w:val="22"/>
        </w:rPr>
        <w:t xml:space="preserve">• Motor de calendario tributario actualizable: base de datos que recoge las fechas oficiales DIAN clasificadas por tipo de impuesto, periodo y último dígito de NIT.</w:t>
      </w:r>
    </w:p>
    <w:p>
      <w:pPr>
        <w:spacing w:after="120" w:before="80" w:line="276"/>
        <w:jc w:val="both"/>
      </w:pPr>
      <w:r>
        <w:rPr>
          <w:rFonts w:ascii="Calibri" w:cs="Calibri" w:eastAsia="Calibri" w:hAnsi="Calibri"/>
          <w:b w:val="false"/>
          <w:bCs w:val="false"/>
          <w:i w:val="false"/>
          <w:iCs w:val="false"/>
          <w:color w:val="0F172A"/>
          <w:sz w:val="22"/>
          <w:szCs w:val="22"/>
        </w:rPr>
        <w:t xml:space="preserve">• Sistema de alertas escalonado: envío automático de correos en los días D-3, D-2, D-1 y D-0 para cada obligación.</w:t>
      </w:r>
    </w:p>
    <w:p>
      <w:pPr>
        <w:spacing w:after="120" w:before="80" w:line="276"/>
        <w:jc w:val="both"/>
      </w:pPr>
      <w:r>
        <w:rPr>
          <w:rFonts w:ascii="Calibri" w:cs="Calibri" w:eastAsia="Calibri" w:hAnsi="Calibri"/>
          <w:b w:val="false"/>
          <w:bCs w:val="false"/>
          <w:i w:val="false"/>
          <w:iCs w:val="false"/>
          <w:color w:val="0F172A"/>
          <w:sz w:val="22"/>
          <w:szCs w:val="22"/>
        </w:rPr>
        <w:t xml:space="preserve">• Calculadora de Sanciones e Intereses Moratorios: motor de cálculo integrado que liquida la sanción por extemporaneidad (Art. 641 E.T.) y los intereses moratorios por día de mora (Art. 634 E.T.) usando la tasa de usura vigente publicada por la Superintendencia Financiera. El usuario ingresa la fecha de vencimiento y la fecha de pago y obtiene el valor exacto a pagar al fisco en segundos.</w:t>
      </w:r>
    </w:p>
    <w:p>
      <w:pPr>
        <w:spacing w:after="120" w:before="80" w:line="276"/>
        <w:jc w:val="both"/>
      </w:pPr>
      <w:r>
        <w:rPr>
          <w:rFonts w:ascii="Calibri" w:cs="Calibri" w:eastAsia="Calibri" w:hAnsi="Calibri"/>
          <w:b w:val="false"/>
          <w:bCs w:val="false"/>
          <w:i w:val="false"/>
          <w:iCs w:val="false"/>
          <w:color w:val="0F172A"/>
          <w:sz w:val="22"/>
          <w:szCs w:val="22"/>
        </w:rPr>
        <w:t xml:space="preserve">• Plantilla Power BI — Cruce de Anticipos vs. Cuentas por Pagar (CxP): Tablero interactivo para conciliar y cruzar los anticipos entregados frente a las cuentas por pagar y pagos realizados por cada proveedor. Permite identificar de forma visual e inmediata diferencias de imputación, saldos pendientes por aplicar, saldos a favor y compromisos por pagar durante el período contable.</w:t>
      </w:r>
    </w:p>
    <w:p>
      <w:pPr>
        <w:spacing w:after="120" w:before="80" w:line="276"/>
        <w:jc w:val="both"/>
      </w:pPr>
      <w:r>
        <w:rPr>
          <w:rFonts w:ascii="Calibri" w:cs="Calibri" w:eastAsia="Calibri" w:hAnsi="Calibri"/>
          <w:b w:val="false"/>
          <w:bCs w:val="false"/>
          <w:i w:val="false"/>
          <w:iCs w:val="false"/>
          <w:color w:val="0F172A"/>
          <w:sz w:val="22"/>
          <w:szCs w:val="22"/>
        </w:rPr>
        <w:t xml:space="preserve">• Plantilla Power BI — Conciliación Fiscal (DIAN vs. Software Contable): Tablero de auditoría y control fiscal diseñado para cruzar y validar las facturas electrónicas registradas en la plataforma de la DIAN contra los movimientos y causaciones del software contable de la empresa. Facilita la detección temprana de facturas no contabilizadas, duplicidades o discrepancias antes de cierres periódicos y declaraciones tributarias.</w:t>
      </w:r>
    </w:p>
    <w:p>
      <w:pPr>
        <w:spacing w:after="120" w:before="80" w:line="276"/>
        <w:jc w:val="both"/>
      </w:pPr>
      <w:r>
        <w:rPr>
          <w:rFonts w:ascii="Calibri" w:cs="Calibri" w:eastAsia="Calibri" w:hAnsi="Calibri"/>
          <w:b w:val="false"/>
          <w:bCs w:val="false"/>
          <w:i w:val="false"/>
          <w:iCs w:val="false"/>
          <w:color w:val="0F172A"/>
          <w:sz w:val="22"/>
          <w:szCs w:val="22"/>
        </w:rPr>
        <w:t xml:space="preserve">• Registro multi-NIT: el usuario puede registrar y gestionar varios NITs desde una misma cuenta.</w:t>
      </w:r>
    </w:p>
    <w:p>
      <w:pPr>
        <w:spacing w:after="120" w:before="80" w:line="276"/>
        <w:jc w:val="both"/>
      </w:pPr>
      <w:r>
        <w:rPr>
          <w:rFonts w:ascii="Calibri" w:cs="Calibri" w:eastAsia="Calibri" w:hAnsi="Calibri"/>
          <w:b w:val="false"/>
          <w:bCs w:val="false"/>
          <w:i w:val="false"/>
          <w:iCs w:val="false"/>
          <w:color w:val="0F172A"/>
          <w:sz w:val="22"/>
          <w:szCs w:val="22"/>
        </w:rPr>
        <w:t xml:space="preserve">• Seguridad: autenticación con contraseña y OAuth (Google), cifrado de datos con TLS 1.3, políticas de acceso por filas (RLS) en base de datos PostgreSQL.</w:t>
      </w:r>
    </w:p>
    <w:p>
      <w:pPr>
        <w:pStyle w:val="Heading3"/>
        <w:spacing w:after="80" w:before="200"/>
      </w:pPr>
      <w:r>
        <w:rPr>
          <w:rFonts w:ascii="Calibri" w:cs="Calibri" w:eastAsia="Calibri" w:hAnsi="Calibri"/>
          <w:b/>
          <w:bCs/>
          <w:i w:val="false"/>
          <w:iCs w:val="false"/>
          <w:color w:val="0F172A"/>
          <w:sz w:val="22"/>
          <w:szCs w:val="22"/>
        </w:rPr>
        <w:t xml:space="preserve">Atributos especiales</w:t>
      </w:r>
    </w:p>
    <w:p>
      <w:pPr>
        <w:spacing w:after="120" w:before="80" w:line="276"/>
        <w:jc w:val="both"/>
      </w:pPr>
      <w:r>
        <w:rPr>
          <w:rFonts w:ascii="Calibri" w:cs="Calibri" w:eastAsia="Calibri" w:hAnsi="Calibri"/>
          <w:b w:val="false"/>
          <w:bCs w:val="false"/>
          <w:i w:val="false"/>
          <w:iCs w:val="false"/>
          <w:color w:val="0F172A"/>
          <w:sz w:val="22"/>
          <w:szCs w:val="22"/>
        </w:rPr>
        <w:t xml:space="preserve">• Precisión normativa: el calendario se actualiza dentro de las 24 horas siguientes a cualquier publicación oficial de la DIAN.</w:t>
      </w:r>
    </w:p>
    <w:p>
      <w:pPr>
        <w:spacing w:after="120" w:before="80" w:line="276"/>
        <w:jc w:val="both"/>
      </w:pPr>
      <w:r>
        <w:rPr>
          <w:rFonts w:ascii="Calibri" w:cs="Calibri" w:eastAsia="Calibri" w:hAnsi="Calibri"/>
          <w:b w:val="false"/>
          <w:bCs w:val="false"/>
          <w:i w:val="false"/>
          <w:iCs w:val="false"/>
          <w:color w:val="0F172A"/>
          <w:sz w:val="22"/>
          <w:szCs w:val="22"/>
        </w:rPr>
        <w:t xml:space="preserve">• Bajo costo: precio inicial desde $14.900 COP/mes, asequible para cualquier microempresario o contador independiente.</w:t>
      </w:r>
    </w:p>
    <w:p>
      <w:pPr>
        <w:spacing w:after="120" w:before="80" w:line="276"/>
        <w:jc w:val="both"/>
      </w:pPr>
      <w:r>
        <w:rPr>
          <w:rFonts w:ascii="Calibri" w:cs="Calibri" w:eastAsia="Calibri" w:hAnsi="Calibri"/>
          <w:b w:val="false"/>
          <w:bCs w:val="false"/>
          <w:i w:val="false"/>
          <w:iCs w:val="false"/>
          <w:color w:val="0F172A"/>
          <w:sz w:val="22"/>
          <w:szCs w:val="22"/>
        </w:rPr>
        <w:t xml:space="preserve">• Interfaz simple: el usuario no necesita conocimientos contables avanzados para usar la plataforma. La calculadora de sanciones y los reportes Power BI están diseñados para disminuir la carga contable.</w:t>
      </w:r>
    </w:p>
    <w:p>
      <w:pPr>
        <w:pStyle w:val="Heading3"/>
        <w:spacing w:after="80" w:before="200"/>
      </w:pPr>
      <w:r>
        <w:rPr>
          <w:rFonts w:ascii="Calibri" w:cs="Calibri" w:eastAsia="Calibri" w:hAnsi="Calibri"/>
          <w:b/>
          <w:bCs/>
          <w:i w:val="false"/>
          <w:iCs w:val="false"/>
          <w:color w:val="0F172A"/>
          <w:sz w:val="22"/>
          <w:szCs w:val="22"/>
        </w:rPr>
        <w:t xml:space="preserve">Ventajas del producto</w:t>
      </w:r>
    </w:p>
    <w:p>
      <w:pPr>
        <w:spacing w:after="120" w:before="80" w:line="276"/>
        <w:jc w:val="both"/>
      </w:pPr>
      <w:r>
        <w:rPr>
          <w:rFonts w:ascii="Calibri" w:cs="Calibri" w:eastAsia="Calibri" w:hAnsi="Calibri"/>
          <w:b w:val="false"/>
          <w:bCs w:val="false"/>
          <w:i w:val="false"/>
          <w:iCs w:val="false"/>
          <w:color w:val="0F172A"/>
          <w:sz w:val="22"/>
          <w:szCs w:val="22"/>
        </w:rPr>
        <w:t xml:space="preserve">• Cero sanciones por olvido: la empresa garantiza que ningún usuario que tenga registrado su NIT y correo activo dejará de recibir sus alertas.</w:t>
      </w:r>
    </w:p>
    <w:p>
      <w:pPr>
        <w:spacing w:after="120" w:before="80" w:line="276"/>
        <w:jc w:val="both"/>
      </w:pPr>
      <w:r>
        <w:rPr>
          <w:rFonts w:ascii="Calibri" w:cs="Calibri" w:eastAsia="Calibri" w:hAnsi="Calibri"/>
          <w:b w:val="false"/>
          <w:bCs w:val="false"/>
          <w:i w:val="false"/>
          <w:iCs w:val="false"/>
          <w:color w:val="0F172A"/>
          <w:sz w:val="22"/>
          <w:szCs w:val="22"/>
        </w:rPr>
        <w:t xml:space="preserve">• Ahorro real cuantificado: la Calculadora de Sanciones muestra en tiempo real cuánto dinero pierde el contribuyente por cada día de mora. Evitar una sola sanción mínima ($524.000 COP) equivale a 35 meses de suscripción al plan Básico.</w:t>
      </w:r>
    </w:p>
    <w:p>
      <w:pPr>
        <w:spacing w:after="120" w:before="80" w:line="276"/>
        <w:jc w:val="both"/>
      </w:pPr>
      <w:r>
        <w:rPr>
          <w:rFonts w:ascii="Calibri" w:cs="Calibri" w:eastAsia="Calibri" w:hAnsi="Calibri"/>
          <w:b w:val="false"/>
          <w:bCs w:val="false"/>
          <w:i w:val="false"/>
          <w:iCs w:val="false"/>
          <w:color w:val="0F172A"/>
          <w:sz w:val="22"/>
          <w:szCs w:val="22"/>
        </w:rPr>
        <w:t xml:space="preserve">• Conciliación fiscal integrada: las plantillas Power BI de Cruce de Anticipos y Reporte DIAN vs. Contabilidad evitan inconsistencias que pueden desencadenar investigaciones de la DIAN por diferencias no justificadas entre reportado y lo contabilizado.</w:t>
      </w:r>
    </w:p>
    <w:p>
      <w:pPr>
        <w:spacing w:after="120" w:before="80" w:line="276"/>
        <w:jc w:val="both"/>
      </w:pPr>
      <w:r>
        <w:rPr>
          <w:rFonts w:ascii="Calibri" w:cs="Calibri" w:eastAsia="Calibri" w:hAnsi="Calibri"/>
          <w:b w:val="false"/>
          <w:bCs w:val="false"/>
          <w:i w:val="false"/>
          <w:iCs w:val="false"/>
          <w:color w:val="0F172A"/>
          <w:sz w:val="22"/>
          <w:szCs w:val="22"/>
        </w:rPr>
        <w:t xml:space="preserve">• Sin curva de aprendizaje: configuración completa en menos de 5 minutos desde el primer ingreso.</w:t>
      </w:r>
    </w:p>
    <w:p>
      <w:pPr>
        <w:pStyle w:val="Heading2"/>
        <w:spacing w:after="120" w:before="280"/>
      </w:pPr>
      <w:r>
        <w:rPr>
          <w:rFonts w:ascii="Calibri" w:cs="Calibri" w:eastAsia="Calibri" w:hAnsi="Calibri"/>
          <w:b/>
          <w:bCs/>
          <w:i w:val="false"/>
          <w:iCs w:val="false"/>
          <w:color w:val="0284C7"/>
          <w:sz w:val="24"/>
          <w:szCs w:val="24"/>
        </w:rPr>
        <w:t xml:space="preserve">2.3 SEGMENTO DE MERCADO ESCOGIDO</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30%"/>
            <w:tcBorders>
              <w:top w:val="single" w:color="CBD5E1" w:sz="4"/>
              <w:left w:val="single" w:color="CBD5E1" w:sz="4"/>
              <w:bottom w:val="single" w:color="CBD5E1" w:sz="4"/>
              <w:right w:val="single" w:color="CBD5E1" w:sz="4"/>
            </w:tcBorders>
            <w:shd w:fill="1E2A5A" w:val="clear"/>
            <w:tcMar>
              <w:top w:type="dxa" w:w="80"/>
              <w:left w:type="dxa" w:w="100"/>
              <w:bottom w:type="dxa" w:w="80"/>
              <w:right w:type="dxa" w:w="80"/>
            </w:tcMar>
            <w:vAlign w:val="center"/>
          </w:tcPr>
          <w:p>
            <w:pPr>
              <w:jc w:val="center"/>
            </w:pPr>
            <w:r>
              <w:rPr>
                <w:rFonts w:ascii="Calibri" w:cs="Calibri" w:eastAsia="Calibri" w:hAnsi="Calibri"/>
                <w:b/>
                <w:bCs/>
                <w:i w:val="false"/>
                <w:iCs w:val="false"/>
                <w:color w:val="FFFFFF"/>
                <w:sz w:val="20"/>
                <w:szCs w:val="20"/>
              </w:rPr>
              <w:t xml:space="preserve">Variable de Segmentación</w:t>
            </w:r>
          </w:p>
        </w:tc>
        <w:tc>
          <w:tcPr>
            <w:tcW w:type="pct" w:w="70%"/>
            <w:tcBorders>
              <w:top w:val="single" w:color="CBD5E1" w:sz="4"/>
              <w:left w:val="single" w:color="CBD5E1" w:sz="4"/>
              <w:bottom w:val="single" w:color="CBD5E1" w:sz="4"/>
              <w:right w:val="single" w:color="CBD5E1" w:sz="4"/>
            </w:tcBorders>
            <w:shd w:fill="1E2A5A" w:val="clear"/>
            <w:tcMar>
              <w:top w:type="dxa" w:w="80"/>
              <w:left w:type="dxa" w:w="100"/>
              <w:bottom w:type="dxa" w:w="80"/>
              <w:right w:type="dxa" w:w="80"/>
            </w:tcMar>
            <w:vAlign w:val="center"/>
          </w:tcPr>
          <w:p>
            <w:pPr>
              <w:jc w:val="center"/>
            </w:pPr>
            <w:r>
              <w:rPr>
                <w:rFonts w:ascii="Calibri" w:cs="Calibri" w:eastAsia="Calibri" w:hAnsi="Calibri"/>
                <w:b/>
                <w:bCs/>
                <w:i w:val="false"/>
                <w:iCs w:val="false"/>
                <w:color w:val="FFFFFF"/>
                <w:sz w:val="20"/>
                <w:szCs w:val="20"/>
              </w:rPr>
              <w:t xml:space="preserve">Descripción</w:t>
            </w:r>
          </w:p>
        </w:tc>
      </w:tr>
      <w:tr>
        <w:tc>
          <w:tcPr>
            <w:tcW w:type="pct" w:w="30%"/>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Tipo de cliente</w:t>
            </w:r>
          </w:p>
        </w:tc>
        <w:tc>
          <w:tcPr>
            <w:tcW w:type="pct" w:w="70%"/>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B2B: Contadores públicos y firmas contables. B2C: Empresas MiPyME y personas naturales declarantes.</w:t>
            </w:r>
          </w:p>
        </w:tc>
      </w:tr>
      <w:tr>
        <w:tc>
          <w:tcPr>
            <w:tcW w:type="pct" w:w="30%"/>
            <w:tcBorders>
              <w:top w:val="single" w:color="CBD5E1" w:sz="4"/>
              <w:left w:val="single" w:color="CBD5E1" w:sz="4"/>
              <w:bottom w:val="single" w:color="CBD5E1" w:sz="4"/>
              <w:right w:val="single" w:color="CBD5E1" w:sz="4"/>
            </w:tcBorders>
            <w:shd w:fill="F8FAFC"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Edad / rango</w:t>
            </w:r>
          </w:p>
        </w:tc>
        <w:tc>
          <w:tcPr>
            <w:tcW w:type="pct" w:w="70%"/>
            <w:tcBorders>
              <w:top w:val="single" w:color="CBD5E1" w:sz="4"/>
              <w:left w:val="single" w:color="CBD5E1" w:sz="4"/>
              <w:bottom w:val="single" w:color="CBD5E1" w:sz="4"/>
              <w:right w:val="single" w:color="CBD5E1" w:sz="4"/>
            </w:tcBorders>
            <w:shd w:fill="F8FAFC"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Profesionales entre 24 y 55 años con responsabilidades tributarias activas.</w:t>
            </w:r>
          </w:p>
        </w:tc>
      </w:tr>
      <w:tr>
        <w:tc>
          <w:tcPr>
            <w:tcW w:type="pct" w:w="30%"/>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Nivel de ingresos</w:t>
            </w:r>
          </w:p>
        </w:tc>
        <w:tc>
          <w:tcPr>
            <w:tcW w:type="pct" w:w="70%"/>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Contadores con ingresos entre $1.750.000 y $6.000.000 COP/mes. Empresas con ventas anuales entre $50 y $2.000 millones.</w:t>
            </w:r>
          </w:p>
        </w:tc>
      </w:tr>
      <w:tr>
        <w:tc>
          <w:tcPr>
            <w:tcW w:type="pct" w:w="30%"/>
            <w:tcBorders>
              <w:top w:val="single" w:color="CBD5E1" w:sz="4"/>
              <w:left w:val="single" w:color="CBD5E1" w:sz="4"/>
              <w:bottom w:val="single" w:color="CBD5E1" w:sz="4"/>
              <w:right w:val="single" w:color="CBD5E1" w:sz="4"/>
            </w:tcBorders>
            <w:shd w:fill="F8FAFC"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Zona geográfica</w:t>
            </w:r>
          </w:p>
        </w:tc>
        <w:tc>
          <w:tcPr>
            <w:tcW w:type="pct" w:w="70%"/>
            <w:tcBorders>
              <w:top w:val="single" w:color="CBD5E1" w:sz="4"/>
              <w:left w:val="single" w:color="CBD5E1" w:sz="4"/>
              <w:bottom w:val="single" w:color="CBD5E1" w:sz="4"/>
              <w:right w:val="single" w:color="CBD5E1" w:sz="4"/>
            </w:tcBorders>
            <w:shd w:fill="F8FAFC"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Ciudades colombianas con alta actividad empresarial: Barranquilla, Bogotá, Medellín, Cali, Bucaramanga, Cartagena.</w:t>
            </w:r>
          </w:p>
        </w:tc>
      </w:tr>
      <w:tr>
        <w:tc>
          <w:tcPr>
            <w:tcW w:type="pct" w:w="30%"/>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Comportamiento digital</w:t>
            </w:r>
          </w:p>
        </w:tc>
        <w:tc>
          <w:tcPr>
            <w:tcW w:type="pct" w:w="70%"/>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Usuarios con acceso a internet y correo electrónico activo, familiarizados con herramientas servicios en línea básicas.</w:t>
            </w:r>
          </w:p>
        </w:tc>
      </w:tr>
      <w:tr>
        <w:tc>
          <w:tcPr>
            <w:tcW w:type="pct" w:w="30%"/>
            <w:tcBorders>
              <w:top w:val="single" w:color="CBD5E1" w:sz="4"/>
              <w:left w:val="single" w:color="CBD5E1" w:sz="4"/>
              <w:bottom w:val="single" w:color="CBD5E1" w:sz="4"/>
              <w:right w:val="single" w:color="CBD5E1" w:sz="4"/>
            </w:tcBorders>
            <w:shd w:fill="F8FAFC"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Necesidad central</w:t>
            </w:r>
          </w:p>
        </w:tc>
        <w:tc>
          <w:tcPr>
            <w:tcW w:type="pct" w:w="70%"/>
            <w:tcBorders>
              <w:top w:val="single" w:color="CBD5E1" w:sz="4"/>
              <w:left w:val="single" w:color="CBD5E1" w:sz="4"/>
              <w:bottom w:val="single" w:color="CBD5E1" w:sz="4"/>
              <w:right w:val="single" w:color="CBD5E1" w:sz="4"/>
            </w:tcBorders>
            <w:shd w:fill="F8FAFC"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Evitar sanciones tributarias por presentación extemporánea ante la DIAN o Secretarías de Hacienda.</w:t>
            </w:r>
          </w:p>
        </w:tc>
      </w:tr>
    </w:tbl>
    <w:p>
      <w:pPr>
        <w:pStyle w:val="Heading2"/>
        <w:spacing w:after="120" w:before="280"/>
      </w:pPr>
      <w:r>
        <w:rPr>
          <w:rFonts w:ascii="Calibri" w:cs="Calibri" w:eastAsia="Calibri" w:hAnsi="Calibri"/>
          <w:b/>
          <w:bCs/>
          <w:i w:val="false"/>
          <w:iCs w:val="false"/>
          <w:color w:val="0284C7"/>
          <w:sz w:val="24"/>
          <w:szCs w:val="24"/>
        </w:rPr>
        <w:t xml:space="preserve">2.4 ¿QUIÉNES SON TUS CLIENTES? Y LAS CARACTERÍSTICAS DE ESTOS</w:t>
      </w:r>
    </w:p>
    <w:p>
      <w:pPr>
        <w:spacing w:after="120" w:before="80" w:line="276"/>
        <w:jc w:val="both"/>
      </w:pPr>
      <w:r>
        <w:rPr>
          <w:rFonts w:ascii="Calibri" w:cs="Calibri" w:eastAsia="Calibri" w:hAnsi="Calibri"/>
          <w:b w:val="false"/>
          <w:bCs w:val="false"/>
          <w:i w:val="false"/>
          <w:iCs w:val="false"/>
          <w:color w:val="0F172A"/>
          <w:sz w:val="22"/>
          <w:szCs w:val="22"/>
        </w:rPr>
        <w:t xml:space="preserve">¿Quiénes son? Contadores públicos independientes, firmas de contabilidad y asesoría tributaria, gerentes y administradores de MiPyMEs, y personas naturales obligadas a declarar renta.</w:t>
      </w:r>
    </w:p>
    <w:p>
      <w:pPr>
        <w:spacing w:after="120" w:before="80" w:line="276"/>
        <w:jc w:val="both"/>
      </w:pPr>
      <w:r>
        <w:rPr>
          <w:rFonts w:ascii="Calibri" w:cs="Calibri" w:eastAsia="Calibri" w:hAnsi="Calibri"/>
          <w:b w:val="false"/>
          <w:bCs w:val="false"/>
          <w:i w:val="false"/>
          <w:iCs w:val="false"/>
          <w:color w:val="0F172A"/>
          <w:sz w:val="22"/>
          <w:szCs w:val="22"/>
        </w:rPr>
        <w:t xml:space="preserve">¿Dónde están? Principalmente en Barranquilla y el Atlántico. A partir del segundo año, expansión a Bogotá, Medellín y Cali mediante estrategia digital 100% en línea, sin necesidad de presencia física.</w:t>
      </w:r>
    </w:p>
    <w:p>
      <w:pPr>
        <w:spacing w:after="120" w:before="80" w:line="276"/>
        <w:jc w:val="both"/>
      </w:pPr>
      <w:r>
        <w:rPr>
          <w:rFonts w:ascii="Calibri" w:cs="Calibri" w:eastAsia="Calibri" w:hAnsi="Calibri"/>
          <w:b w:val="false"/>
          <w:bCs w:val="false"/>
          <w:i w:val="false"/>
          <w:iCs w:val="false"/>
          <w:color w:val="0F172A"/>
          <w:sz w:val="22"/>
          <w:szCs w:val="22"/>
        </w:rPr>
        <w:t xml:space="preserve">¿Cuántos son? En el Atlántico: aproximadamente 7.200 contadores matriculados ante la JCC y más de 97.000 empresas registradas en Cámara de Comercio de Barranquilla. A nivel nacional: más de 320.000 contadores y 1.700.000 empresas.</w:t>
      </w:r>
    </w:p>
    <w:p>
      <w:pPr>
        <w:spacing w:after="120" w:before="80" w:line="276"/>
        <w:jc w:val="both"/>
      </w:pPr>
      <w:r>
        <w:rPr>
          <w:rFonts w:ascii="Calibri" w:cs="Calibri" w:eastAsia="Calibri" w:hAnsi="Calibri"/>
          <w:b w:val="false"/>
          <w:bCs w:val="false"/>
          <w:i w:val="false"/>
          <w:iCs w:val="false"/>
          <w:color w:val="0F172A"/>
          <w:sz w:val="22"/>
          <w:szCs w:val="22"/>
        </w:rPr>
        <w:t xml:space="preserve">¿Qué costumbres tienen? Revisan su correo electrónico múltiples veces al día. Usan Excel o PDF para llevar el control de fechas. Trabajan bajo presión de plazos. Están dispuestos a pagar suscripciones bajas en lugar de asumir el riesgo de sanciones altas.</w:t>
      </w:r>
    </w:p>
    <w:p>
      <w:pPr>
        <w:pStyle w:val="Heading2"/>
        <w:spacing w:after="120" w:before="280"/>
      </w:pPr>
      <w:r>
        <w:rPr>
          <w:rFonts w:ascii="Calibri" w:cs="Calibri" w:eastAsia="Calibri" w:hAnsi="Calibri"/>
          <w:b/>
          <w:bCs/>
          <w:i w:val="false"/>
          <w:iCs w:val="false"/>
          <w:color w:val="0284C7"/>
          <w:sz w:val="24"/>
          <w:szCs w:val="24"/>
        </w:rPr>
        <w:t xml:space="preserve">2.5 PROYECCIÓN DE LA DEMANDA DEL PROYECTO</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tblGrid>
      <w:tr>
        <w:trPr>
          <w:tblHeader/>
        </w:trPr>
        <w:tc>
          <w:tcPr>
            <w:tcW w:type="pct" w:w="12%"/>
            <w:tcBorders>
              <w:top w:val="single" w:color="CBD5E1" w:sz="4"/>
              <w:left w:val="single" w:color="CBD5E1" w:sz="4"/>
              <w:bottom w:val="single" w:color="CBD5E1" w:sz="4"/>
              <w:right w:val="single" w:color="CBD5E1" w:sz="4"/>
            </w:tcBorders>
            <w:shd w:fill="1E2A5A" w:val="clear"/>
            <w:tcMar>
              <w:top w:type="dxa" w:w="80"/>
              <w:left w:type="dxa" w:w="100"/>
              <w:bottom w:type="dxa" w:w="80"/>
              <w:right w:type="dxa" w:w="80"/>
            </w:tcMar>
            <w:vAlign w:val="center"/>
          </w:tcPr>
          <w:p>
            <w:pPr>
              <w:jc w:val="center"/>
            </w:pPr>
            <w:r>
              <w:rPr>
                <w:rFonts w:ascii="Calibri" w:cs="Calibri" w:eastAsia="Calibri" w:hAnsi="Calibri"/>
                <w:b/>
                <w:bCs/>
                <w:i w:val="false"/>
                <w:iCs w:val="false"/>
                <w:color w:val="FFFFFF"/>
                <w:sz w:val="20"/>
                <w:szCs w:val="20"/>
              </w:rPr>
              <w:t xml:space="preserve">Año</w:t>
            </w:r>
          </w:p>
        </w:tc>
        <w:tc>
          <w:tcPr>
            <w:tcW w:type="pct" w:w="17%"/>
            <w:tcBorders>
              <w:top w:val="single" w:color="CBD5E1" w:sz="4"/>
              <w:left w:val="single" w:color="CBD5E1" w:sz="4"/>
              <w:bottom w:val="single" w:color="CBD5E1" w:sz="4"/>
              <w:right w:val="single" w:color="CBD5E1" w:sz="4"/>
            </w:tcBorders>
            <w:shd w:fill="1E2A5A" w:val="clear"/>
            <w:tcMar>
              <w:top w:type="dxa" w:w="80"/>
              <w:left w:type="dxa" w:w="100"/>
              <w:bottom w:type="dxa" w:w="80"/>
              <w:right w:type="dxa" w:w="80"/>
            </w:tcMar>
            <w:vAlign w:val="center"/>
          </w:tcPr>
          <w:p>
            <w:pPr>
              <w:jc w:val="center"/>
            </w:pPr>
            <w:r>
              <w:rPr>
                <w:rFonts w:ascii="Calibri" w:cs="Calibri" w:eastAsia="Calibri" w:hAnsi="Calibri"/>
                <w:b/>
                <w:bCs/>
                <w:i w:val="false"/>
                <w:iCs w:val="false"/>
                <w:color w:val="FFFFFF"/>
                <w:sz w:val="20"/>
                <w:szCs w:val="20"/>
              </w:rPr>
              <w:t xml:space="preserve">Usuarios Promedio / Mes</w:t>
            </w:r>
          </w:p>
        </w:tc>
        <w:tc>
          <w:tcPr>
            <w:tcW w:type="pct" w:w="17%"/>
            <w:tcBorders>
              <w:top w:val="single" w:color="CBD5E1" w:sz="4"/>
              <w:left w:val="single" w:color="CBD5E1" w:sz="4"/>
              <w:bottom w:val="single" w:color="CBD5E1" w:sz="4"/>
              <w:right w:val="single" w:color="CBD5E1" w:sz="4"/>
            </w:tcBorders>
            <w:shd w:fill="1E2A5A" w:val="clear"/>
            <w:tcMar>
              <w:top w:type="dxa" w:w="80"/>
              <w:left w:type="dxa" w:w="100"/>
              <w:bottom w:type="dxa" w:w="80"/>
              <w:right w:type="dxa" w:w="80"/>
            </w:tcMar>
            <w:vAlign w:val="center"/>
          </w:tcPr>
          <w:p>
            <w:pPr>
              <w:jc w:val="center"/>
            </w:pPr>
            <w:r>
              <w:rPr>
                <w:rFonts w:ascii="Calibri" w:cs="Calibri" w:eastAsia="Calibri" w:hAnsi="Calibri"/>
                <w:b/>
                <w:bCs/>
                <w:i w:val="false"/>
                <w:iCs w:val="false"/>
                <w:color w:val="FFFFFF"/>
                <w:sz w:val="20"/>
                <w:szCs w:val="20"/>
              </w:rPr>
              <w:t xml:space="preserve">Usuarios Plan Básico (45%)</w:t>
            </w:r>
          </w:p>
        </w:tc>
        <w:tc>
          <w:tcPr>
            <w:tcW w:type="pct" w:w="17%"/>
            <w:tcBorders>
              <w:top w:val="single" w:color="CBD5E1" w:sz="4"/>
              <w:left w:val="single" w:color="CBD5E1" w:sz="4"/>
              <w:bottom w:val="single" w:color="CBD5E1" w:sz="4"/>
              <w:right w:val="single" w:color="CBD5E1" w:sz="4"/>
            </w:tcBorders>
            <w:shd w:fill="1E2A5A" w:val="clear"/>
            <w:tcMar>
              <w:top w:type="dxa" w:w="80"/>
              <w:left w:type="dxa" w:w="100"/>
              <w:bottom w:type="dxa" w:w="80"/>
              <w:right w:type="dxa" w:w="80"/>
            </w:tcMar>
            <w:vAlign w:val="center"/>
          </w:tcPr>
          <w:p>
            <w:pPr>
              <w:jc w:val="center"/>
            </w:pPr>
            <w:r>
              <w:rPr>
                <w:rFonts w:ascii="Calibri" w:cs="Calibri" w:eastAsia="Calibri" w:hAnsi="Calibri"/>
                <w:b/>
                <w:bCs/>
                <w:i w:val="false"/>
                <w:iCs w:val="false"/>
                <w:color w:val="FFFFFF"/>
                <w:sz w:val="20"/>
                <w:szCs w:val="20"/>
              </w:rPr>
              <w:t xml:space="preserve">Usuarios Plan Pro (38%)</w:t>
            </w:r>
          </w:p>
        </w:tc>
        <w:tc>
          <w:tcPr>
            <w:tcW w:type="pct" w:w="17%"/>
            <w:tcBorders>
              <w:top w:val="single" w:color="CBD5E1" w:sz="4"/>
              <w:left w:val="single" w:color="CBD5E1" w:sz="4"/>
              <w:bottom w:val="single" w:color="CBD5E1" w:sz="4"/>
              <w:right w:val="single" w:color="CBD5E1" w:sz="4"/>
            </w:tcBorders>
            <w:shd w:fill="1E2A5A" w:val="clear"/>
            <w:tcMar>
              <w:top w:type="dxa" w:w="80"/>
              <w:left w:type="dxa" w:w="100"/>
              <w:bottom w:type="dxa" w:w="80"/>
              <w:right w:type="dxa" w:w="80"/>
            </w:tcMar>
            <w:vAlign w:val="center"/>
          </w:tcPr>
          <w:p>
            <w:pPr>
              <w:jc w:val="center"/>
            </w:pPr>
            <w:r>
              <w:rPr>
                <w:rFonts w:ascii="Calibri" w:cs="Calibri" w:eastAsia="Calibri" w:hAnsi="Calibri"/>
                <w:b/>
                <w:bCs/>
                <w:i w:val="false"/>
                <w:iCs w:val="false"/>
                <w:color w:val="FFFFFF"/>
                <w:sz w:val="20"/>
                <w:szCs w:val="20"/>
              </w:rPr>
              <w:t xml:space="preserve">Usuarios Plan Empresarial (17%)</w:t>
            </w:r>
          </w:p>
        </w:tc>
        <w:tc>
          <w:tcPr>
            <w:tcW w:type="pct" w:w="20%"/>
            <w:tcBorders>
              <w:top w:val="single" w:color="CBD5E1" w:sz="4"/>
              <w:left w:val="single" w:color="CBD5E1" w:sz="4"/>
              <w:bottom w:val="single" w:color="CBD5E1" w:sz="4"/>
              <w:right w:val="single" w:color="CBD5E1" w:sz="4"/>
            </w:tcBorders>
            <w:shd w:fill="1E2A5A" w:val="clear"/>
            <w:tcMar>
              <w:top w:type="dxa" w:w="80"/>
              <w:left w:type="dxa" w:w="100"/>
              <w:bottom w:type="dxa" w:w="80"/>
              <w:right w:type="dxa" w:w="80"/>
            </w:tcMar>
            <w:vAlign w:val="center"/>
          </w:tcPr>
          <w:p>
            <w:pPr>
              <w:jc w:val="center"/>
            </w:pPr>
            <w:r>
              <w:rPr>
                <w:rFonts w:ascii="Calibri" w:cs="Calibri" w:eastAsia="Calibri" w:hAnsi="Calibri"/>
                <w:b/>
                <w:bCs/>
                <w:i w:val="false"/>
                <w:iCs w:val="false"/>
                <w:color w:val="FFFFFF"/>
                <w:sz w:val="20"/>
                <w:szCs w:val="20"/>
              </w:rPr>
              <w:t xml:space="preserve">Ingresos Totales / Año (COP)</w:t>
            </w:r>
          </w:p>
        </w:tc>
      </w:tr>
      <w:tr>
        <w:tc>
          <w:tcPr>
            <w:tcW w:type="pct" w:w="12%"/>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Año 1 (2025)</w:t>
            </w:r>
          </w:p>
        </w:tc>
        <w:tc>
          <w:tcPr>
            <w:tcW w:type="pct" w:w="17%"/>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570</w:t>
            </w:r>
          </w:p>
        </w:tc>
        <w:tc>
          <w:tcPr>
            <w:tcW w:type="pct" w:w="17%"/>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257</w:t>
            </w:r>
          </w:p>
        </w:tc>
        <w:tc>
          <w:tcPr>
            <w:tcW w:type="pct" w:w="17%"/>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216</w:t>
            </w:r>
          </w:p>
        </w:tc>
        <w:tc>
          <w:tcPr>
            <w:tcW w:type="pct" w:w="17%"/>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97</w:t>
            </w:r>
          </w:p>
        </w:tc>
        <w:tc>
          <w:tcPr>
            <w:tcW w:type="pct" w:w="20%"/>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$157.001.000</w:t>
            </w:r>
          </w:p>
        </w:tc>
      </w:tr>
      <w:tr>
        <w:tc>
          <w:tcPr>
            <w:tcW w:type="pct" w:w="12%"/>
            <w:tcBorders>
              <w:top w:val="single" w:color="CBD5E1" w:sz="4"/>
              <w:left w:val="single" w:color="CBD5E1" w:sz="4"/>
              <w:bottom w:val="single" w:color="CBD5E1" w:sz="4"/>
              <w:right w:val="single" w:color="CBD5E1" w:sz="4"/>
            </w:tcBorders>
            <w:shd w:fill="F8FAFC"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Año 2 (2026)</w:t>
            </w:r>
          </w:p>
        </w:tc>
        <w:tc>
          <w:tcPr>
            <w:tcW w:type="pct" w:w="17%"/>
            <w:tcBorders>
              <w:top w:val="single" w:color="CBD5E1" w:sz="4"/>
              <w:left w:val="single" w:color="CBD5E1" w:sz="4"/>
              <w:bottom w:val="single" w:color="CBD5E1" w:sz="4"/>
              <w:right w:val="single" w:color="CBD5E1" w:sz="4"/>
            </w:tcBorders>
            <w:shd w:fill="F8FAFC"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900</w:t>
            </w:r>
          </w:p>
        </w:tc>
        <w:tc>
          <w:tcPr>
            <w:tcW w:type="pct" w:w="17%"/>
            <w:tcBorders>
              <w:top w:val="single" w:color="CBD5E1" w:sz="4"/>
              <w:left w:val="single" w:color="CBD5E1" w:sz="4"/>
              <w:bottom w:val="single" w:color="CBD5E1" w:sz="4"/>
              <w:right w:val="single" w:color="CBD5E1" w:sz="4"/>
            </w:tcBorders>
            <w:shd w:fill="F8FAFC"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405</w:t>
            </w:r>
          </w:p>
        </w:tc>
        <w:tc>
          <w:tcPr>
            <w:tcW w:type="pct" w:w="17%"/>
            <w:tcBorders>
              <w:top w:val="single" w:color="CBD5E1" w:sz="4"/>
              <w:left w:val="single" w:color="CBD5E1" w:sz="4"/>
              <w:bottom w:val="single" w:color="CBD5E1" w:sz="4"/>
              <w:right w:val="single" w:color="CBD5E1" w:sz="4"/>
            </w:tcBorders>
            <w:shd w:fill="F8FAFC"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342</w:t>
            </w:r>
          </w:p>
        </w:tc>
        <w:tc>
          <w:tcPr>
            <w:tcW w:type="pct" w:w="17%"/>
            <w:tcBorders>
              <w:top w:val="single" w:color="CBD5E1" w:sz="4"/>
              <w:left w:val="single" w:color="CBD5E1" w:sz="4"/>
              <w:bottom w:val="single" w:color="CBD5E1" w:sz="4"/>
              <w:right w:val="single" w:color="CBD5E1" w:sz="4"/>
            </w:tcBorders>
            <w:shd w:fill="F8FAFC"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153</w:t>
            </w:r>
          </w:p>
        </w:tc>
        <w:tc>
          <w:tcPr>
            <w:tcW w:type="pct" w:w="20%"/>
            <w:tcBorders>
              <w:top w:val="single" w:color="CBD5E1" w:sz="4"/>
              <w:left w:val="single" w:color="CBD5E1" w:sz="4"/>
              <w:bottom w:val="single" w:color="CBD5E1" w:sz="4"/>
              <w:right w:val="single" w:color="CBD5E1" w:sz="4"/>
            </w:tcBorders>
            <w:shd w:fill="F8FAFC"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$247.860.000</w:t>
            </w:r>
          </w:p>
        </w:tc>
      </w:tr>
      <w:tr>
        <w:tc>
          <w:tcPr>
            <w:tcW w:type="pct" w:w="12%"/>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Año 3 (2027)</w:t>
            </w:r>
          </w:p>
        </w:tc>
        <w:tc>
          <w:tcPr>
            <w:tcW w:type="pct" w:w="17%"/>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1.350</w:t>
            </w:r>
          </w:p>
        </w:tc>
        <w:tc>
          <w:tcPr>
            <w:tcW w:type="pct" w:w="17%"/>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608</w:t>
            </w:r>
          </w:p>
        </w:tc>
        <w:tc>
          <w:tcPr>
            <w:tcW w:type="pct" w:w="17%"/>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513</w:t>
            </w:r>
          </w:p>
        </w:tc>
        <w:tc>
          <w:tcPr>
            <w:tcW w:type="pct" w:w="17%"/>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229</w:t>
            </w:r>
          </w:p>
        </w:tc>
        <w:tc>
          <w:tcPr>
            <w:tcW w:type="pct" w:w="20%"/>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$371.790.000</w:t>
            </w:r>
          </w:p>
        </w:tc>
      </w:tr>
      <w:tr>
        <w:tc>
          <w:tcPr>
            <w:tcW w:type="pct" w:w="12%"/>
            <w:tcBorders>
              <w:top w:val="single" w:color="CBD5E1" w:sz="4"/>
              <w:left w:val="single" w:color="CBD5E1" w:sz="4"/>
              <w:bottom w:val="single" w:color="CBD5E1" w:sz="4"/>
              <w:right w:val="single" w:color="CBD5E1" w:sz="4"/>
            </w:tcBorders>
            <w:shd w:fill="F8FAFC"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Año 4 (2028)</w:t>
            </w:r>
          </w:p>
        </w:tc>
        <w:tc>
          <w:tcPr>
            <w:tcW w:type="pct" w:w="17%"/>
            <w:tcBorders>
              <w:top w:val="single" w:color="CBD5E1" w:sz="4"/>
              <w:left w:val="single" w:color="CBD5E1" w:sz="4"/>
              <w:bottom w:val="single" w:color="CBD5E1" w:sz="4"/>
              <w:right w:val="single" w:color="CBD5E1" w:sz="4"/>
            </w:tcBorders>
            <w:shd w:fill="F8FAFC"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1.700</w:t>
            </w:r>
          </w:p>
        </w:tc>
        <w:tc>
          <w:tcPr>
            <w:tcW w:type="pct" w:w="17%"/>
            <w:tcBorders>
              <w:top w:val="single" w:color="CBD5E1" w:sz="4"/>
              <w:left w:val="single" w:color="CBD5E1" w:sz="4"/>
              <w:bottom w:val="single" w:color="CBD5E1" w:sz="4"/>
              <w:right w:val="single" w:color="CBD5E1" w:sz="4"/>
            </w:tcBorders>
            <w:shd w:fill="F8FAFC"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765</w:t>
            </w:r>
          </w:p>
        </w:tc>
        <w:tc>
          <w:tcPr>
            <w:tcW w:type="pct" w:w="17%"/>
            <w:tcBorders>
              <w:top w:val="single" w:color="CBD5E1" w:sz="4"/>
              <w:left w:val="single" w:color="CBD5E1" w:sz="4"/>
              <w:bottom w:val="single" w:color="CBD5E1" w:sz="4"/>
              <w:right w:val="single" w:color="CBD5E1" w:sz="4"/>
            </w:tcBorders>
            <w:shd w:fill="F8FAFC"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646</w:t>
            </w:r>
          </w:p>
        </w:tc>
        <w:tc>
          <w:tcPr>
            <w:tcW w:type="pct" w:w="17%"/>
            <w:tcBorders>
              <w:top w:val="single" w:color="CBD5E1" w:sz="4"/>
              <w:left w:val="single" w:color="CBD5E1" w:sz="4"/>
              <w:bottom w:val="single" w:color="CBD5E1" w:sz="4"/>
              <w:right w:val="single" w:color="CBD5E1" w:sz="4"/>
            </w:tcBorders>
            <w:shd w:fill="F8FAFC"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289</w:t>
            </w:r>
          </w:p>
        </w:tc>
        <w:tc>
          <w:tcPr>
            <w:tcW w:type="pct" w:w="20%"/>
            <w:tcBorders>
              <w:top w:val="single" w:color="CBD5E1" w:sz="4"/>
              <w:left w:val="single" w:color="CBD5E1" w:sz="4"/>
              <w:bottom w:val="single" w:color="CBD5E1" w:sz="4"/>
              <w:right w:val="single" w:color="CBD5E1" w:sz="4"/>
            </w:tcBorders>
            <w:shd w:fill="F8FAFC"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$468.180.000</w:t>
            </w:r>
          </w:p>
        </w:tc>
      </w:tr>
      <w:tr>
        <w:tc>
          <w:tcPr>
            <w:tcW w:type="pct" w:w="12%"/>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Año 5 (2029)</w:t>
            </w:r>
          </w:p>
        </w:tc>
        <w:tc>
          <w:tcPr>
            <w:tcW w:type="pct" w:w="17%"/>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2.000</w:t>
            </w:r>
          </w:p>
        </w:tc>
        <w:tc>
          <w:tcPr>
            <w:tcW w:type="pct" w:w="17%"/>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900</w:t>
            </w:r>
          </w:p>
        </w:tc>
        <w:tc>
          <w:tcPr>
            <w:tcW w:type="pct" w:w="17%"/>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760</w:t>
            </w:r>
          </w:p>
        </w:tc>
        <w:tc>
          <w:tcPr>
            <w:tcW w:type="pct" w:w="17%"/>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340</w:t>
            </w:r>
          </w:p>
        </w:tc>
        <w:tc>
          <w:tcPr>
            <w:tcW w:type="pct" w:w="20%"/>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$550.800.000</w:t>
            </w:r>
          </w:p>
        </w:tc>
      </w:tr>
    </w:tbl>
    <w:p>
      <w:pPr>
        <w:spacing w:after="60" w:before="6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none"/>
              <w:left w:val="single" w:color="0284C7" w:sz="20"/>
              <w:bottom w:val="none"/>
              <w:right w:val="none"/>
            </w:tcBorders>
            <w:shd w:fill="EFF6FF" w:val="clear"/>
            <w:tcMar>
              <w:top w:type="dxa" w:w="100"/>
              <w:left w:type="dxa" w:w="140"/>
              <w:bottom w:type="dxa" w:w="100"/>
              <w:right w:type="dxa" w:w="120"/>
            </w:tcMar>
          </w:tcPr>
          <w:p>
            <w:r>
              <w:rPr>
                <w:rFonts w:ascii="Calibri" w:cs="Calibri" w:eastAsia="Calibri" w:hAnsi="Calibri"/>
                <w:b w:val="false"/>
                <w:bCs w:val="false"/>
                <w:i/>
                <w:iCs/>
                <w:color w:val="1E3A5F"/>
                <w:sz w:val="20"/>
                <w:szCs w:val="20"/>
              </w:rPr>
              <w:t xml:space="preserve">La capacidad instalada de la plataforma soporta hasta 2.000 usuarios/mes (infraestructura serverless escalable). La captación en el Año 1 representa el 28,5% de la capacidad instalada = 570 usuarios/mes promedio, permitiendo a la empresa alcanzar el punto de equilibrio financiero desde el primer año.</w:t>
            </w:r>
          </w:p>
        </w:tc>
      </w:tr>
    </w:tbl>
    <w:p>
      <w:pPr>
        <w:pStyle w:val="Heading2"/>
        <w:spacing w:after="120" w:before="280"/>
      </w:pPr>
      <w:r>
        <w:rPr>
          <w:rFonts w:ascii="Calibri" w:cs="Calibri" w:eastAsia="Calibri" w:hAnsi="Calibri"/>
          <w:b/>
          <w:bCs/>
          <w:i w:val="false"/>
          <w:iCs w:val="false"/>
          <w:color w:val="0284C7"/>
          <w:sz w:val="24"/>
          <w:szCs w:val="24"/>
        </w:rPr>
        <w:t xml:space="preserve">2.7 ¿CÓMO LE GANARÁS A TUS COMPETIDORES?</w:t>
      </w:r>
    </w:p>
    <w:p>
      <w:pPr>
        <w:pStyle w:val="Heading3"/>
        <w:spacing w:after="80" w:before="200"/>
      </w:pPr>
      <w:r>
        <w:rPr>
          <w:rFonts w:ascii="Calibri" w:cs="Calibri" w:eastAsia="Calibri" w:hAnsi="Calibri"/>
          <w:b/>
          <w:bCs/>
          <w:i w:val="false"/>
          <w:iCs w:val="false"/>
          <w:color w:val="0F172A"/>
          <w:sz w:val="22"/>
          <w:szCs w:val="22"/>
        </w:rPr>
        <w:t xml:space="preserve">Ventajas Competitivas (diferenciadores únicos)</w:t>
      </w:r>
    </w:p>
    <w:p>
      <w:pPr>
        <w:spacing w:after="120" w:before="80" w:line="276"/>
        <w:jc w:val="both"/>
      </w:pPr>
      <w:r>
        <w:rPr>
          <w:rFonts w:ascii="Calibri" w:cs="Calibri" w:eastAsia="Calibri" w:hAnsi="Calibri"/>
          <w:b w:val="false"/>
          <w:bCs w:val="false"/>
          <w:i w:val="false"/>
          <w:iCs w:val="false"/>
          <w:color w:val="0F172A"/>
          <w:sz w:val="22"/>
          <w:szCs w:val="22"/>
        </w:rPr>
        <w:t xml:space="preserve">• Única plataforma colombiana enfocada exclusivamente en alertas preventivas de vencimientos tributarios por NIT: no somos un ERP, somos la alarma tributaria.</w:t>
      </w:r>
    </w:p>
    <w:p>
      <w:pPr>
        <w:spacing w:after="120" w:before="80" w:line="276"/>
        <w:jc w:val="both"/>
      </w:pPr>
      <w:r>
        <w:rPr>
          <w:rFonts w:ascii="Calibri" w:cs="Calibri" w:eastAsia="Calibri" w:hAnsi="Calibri"/>
          <w:b w:val="false"/>
          <w:bCs w:val="false"/>
          <w:i w:val="false"/>
          <w:iCs w:val="false"/>
          <w:color w:val="0F172A"/>
          <w:sz w:val="22"/>
          <w:szCs w:val="22"/>
        </w:rPr>
        <w:t xml:space="preserve">• Calculadora de Sanciones e Intereses Moratorios integrada: ninguno de los competidores ofrece una herramienta que calcule en tiempo real el costo del incumplimiento (Art. 641 + Art. 634 E.T.) directamente vinculada al calendario del NIT.</w:t>
      </w:r>
    </w:p>
    <w:p>
      <w:pPr>
        <w:spacing w:after="120" w:before="80" w:line="276"/>
        <w:jc w:val="both"/>
      </w:pPr>
      <w:r>
        <w:rPr>
          <w:rFonts w:ascii="Calibri" w:cs="Calibri" w:eastAsia="Calibri" w:hAnsi="Calibri"/>
          <w:b w:val="false"/>
          <w:bCs w:val="false"/>
          <w:i w:val="false"/>
          <w:iCs w:val="false"/>
          <w:color w:val="0F172A"/>
          <w:sz w:val="22"/>
          <w:szCs w:val="22"/>
        </w:rPr>
        <w:t xml:space="preserve">• Plantillas Power BI — Cruce de Anticipos &amp; DIAN vs. Contabilidad: soluciones avanzadas de auditoría fiscal para cruzar anticipos con CxP y confrontar la facturación de la DIAN contra el software contable. Automatizan validaciones críticas que los portales informativos no resuelven y que los ERP suelen cobrar como módulos costosos por separado.</w:t>
      </w:r>
    </w:p>
    <w:p>
      <w:pPr>
        <w:spacing w:after="120" w:before="80" w:line="276"/>
        <w:jc w:val="both"/>
      </w:pPr>
      <w:r>
        <w:rPr>
          <w:rFonts w:ascii="Calibri" w:cs="Calibri" w:eastAsia="Calibri" w:hAnsi="Calibri"/>
          <w:b w:val="false"/>
          <w:bCs w:val="false"/>
          <w:i w:val="false"/>
          <w:iCs w:val="false"/>
          <w:color w:val="0F172A"/>
          <w:sz w:val="22"/>
          <w:szCs w:val="22"/>
        </w:rPr>
        <w:t xml:space="preserve">• Precio 5 veces inferior al competidor más asequible del mercado: Plan Básico desde $14.900 COP/mes.</w:t>
      </w:r>
    </w:p>
    <w:p>
      <w:pPr>
        <w:spacing w:after="120" w:before="80" w:line="276"/>
        <w:jc w:val="both"/>
      </w:pPr>
      <w:r>
        <w:rPr>
          <w:rFonts w:ascii="Calibri" w:cs="Calibri" w:eastAsia="Calibri" w:hAnsi="Calibri"/>
          <w:b w:val="false"/>
          <w:bCs w:val="false"/>
          <w:i w:val="false"/>
          <w:iCs w:val="false"/>
          <w:color w:val="0F172A"/>
          <w:sz w:val="22"/>
          <w:szCs w:val="22"/>
        </w:rPr>
        <w:t xml:space="preserve">• Alerta progresiva en 4 momentos (D-3, D-2, D-1, D-0): ningún competidor dispara 4 recordatorios escalonados.</w:t>
      </w:r>
    </w:p>
    <w:p>
      <w:pPr>
        <w:spacing w:after="120" w:before="80" w:line="276"/>
        <w:jc w:val="both"/>
      </w:pPr>
      <w:r>
        <w:rPr>
          <w:rFonts w:ascii="Calibri" w:cs="Calibri" w:eastAsia="Calibri" w:hAnsi="Calibri"/>
          <w:b w:val="false"/>
          <w:bCs w:val="false"/>
          <w:i w:val="false"/>
          <w:iCs w:val="false"/>
          <w:color w:val="0F172A"/>
          <w:sz w:val="22"/>
          <w:szCs w:val="22"/>
        </w:rPr>
        <w:t xml:space="preserve">• Clasificación automática por último dígito de NIT: el sistema cruza el NIT del cliente con el calendario correcto sin que el contador tenga que hacer nada manualmente.</w:t>
      </w:r>
    </w:p>
    <w:p>
      <w:pPr>
        <w:pStyle w:val="Heading3"/>
        <w:spacing w:after="80" w:before="200"/>
      </w:pPr>
      <w:r>
        <w:rPr>
          <w:rFonts w:ascii="Calibri" w:cs="Calibri" w:eastAsia="Calibri" w:hAnsi="Calibri"/>
          <w:b/>
          <w:bCs/>
          <w:i w:val="false"/>
          <w:iCs w:val="false"/>
          <w:color w:val="0F172A"/>
          <w:sz w:val="22"/>
          <w:szCs w:val="22"/>
        </w:rPr>
        <w:t xml:space="preserve">Distingos Competitivos (atributos comunes ejecutados mejor)</w:t>
      </w:r>
    </w:p>
    <w:p>
      <w:pPr>
        <w:spacing w:after="120" w:before="80" w:line="276"/>
        <w:jc w:val="both"/>
      </w:pPr>
      <w:r>
        <w:rPr>
          <w:rFonts w:ascii="Calibri" w:cs="Calibri" w:eastAsia="Calibri" w:hAnsi="Calibri"/>
          <w:b w:val="false"/>
          <w:bCs w:val="false"/>
          <w:i w:val="false"/>
          <w:iCs w:val="false"/>
          <w:color w:val="0F172A"/>
          <w:sz w:val="22"/>
          <w:szCs w:val="22"/>
        </w:rPr>
        <w:t xml:space="preserve">• Correo electrónico: usamos el canal de mayor confianza del contador colombiano, con plantillas profesionales institucionales TributoApp que el cliente identifica y no clasifica como spam.</w:t>
      </w:r>
    </w:p>
    <w:p>
      <w:pPr>
        <w:spacing w:after="120" w:before="80" w:line="276"/>
        <w:jc w:val="both"/>
      </w:pPr>
      <w:r>
        <w:rPr>
          <w:rFonts w:ascii="Calibri" w:cs="Calibri" w:eastAsia="Calibri" w:hAnsi="Calibri"/>
          <w:b w:val="false"/>
          <w:bCs w:val="false"/>
          <w:i w:val="false"/>
          <w:iCs w:val="false"/>
          <w:color w:val="0F172A"/>
          <w:sz w:val="22"/>
          <w:szCs w:val="22"/>
        </w:rPr>
        <w:t xml:space="preserve">• Soporte por WhatsApp: canal inmediato de soporte para resolver dudas sobre el calendario en tiempo real.</w:t>
      </w:r>
    </w:p>
    <w:p>
      <w:pPr>
        <w:spacing w:after="120" w:before="80" w:line="276"/>
        <w:jc w:val="both"/>
      </w:pPr>
      <w:r>
        <w:rPr>
          <w:rFonts w:ascii="Calibri" w:cs="Calibri" w:eastAsia="Calibri" w:hAnsi="Calibri"/>
          <w:b w:val="false"/>
          <w:bCs w:val="false"/>
          <w:i w:val="false"/>
          <w:iCs w:val="false"/>
          <w:color w:val="0F172A"/>
          <w:sz w:val="22"/>
          <w:szCs w:val="22"/>
        </w:rPr>
        <w:t xml:space="preserve">• Trial de 3 días sin tarjeta de crédito: elimina la barrera de desconfianza del usuario nuevo.</w:t>
      </w:r>
    </w:p>
    <w:p>
      <w:pPr>
        <w:pStyle w:val="Heading2"/>
        <w:spacing w:after="120" w:before="280"/>
      </w:pPr>
      <w:r>
        <w:rPr>
          <w:rFonts w:ascii="Calibri" w:cs="Calibri" w:eastAsia="Calibri" w:hAnsi="Calibri"/>
          <w:b/>
          <w:bCs/>
          <w:i w:val="false"/>
          <w:iCs w:val="false"/>
          <w:color w:val="0284C7"/>
          <w:sz w:val="24"/>
          <w:szCs w:val="24"/>
        </w:rPr>
        <w:t xml:space="preserve">2.8 ¿DETALLAR ALGUNOS PRODUCTOS O SERVICIOS ESPECIALES QUE PUEDES PROVEER U OFRECER?</w:t>
      </w:r>
    </w:p>
    <w:p>
      <w:pPr>
        <w:spacing w:after="120" w:before="80" w:line="276"/>
        <w:jc w:val="both"/>
      </w:pPr>
      <w:r>
        <w:rPr>
          <w:rFonts w:ascii="Calibri" w:cs="Calibri" w:eastAsia="Calibri" w:hAnsi="Calibri"/>
          <w:b w:val="false"/>
          <w:bCs w:val="false"/>
          <w:i w:val="false"/>
          <w:iCs w:val="false"/>
          <w:color w:val="0F172A"/>
          <w:sz w:val="22"/>
          <w:szCs w:val="22"/>
        </w:rPr>
        <w:t xml:space="preserve">Adicional al servicio principal de alertas de vencimiento, TributoApp ofrece:</w:t>
      </w:r>
    </w:p>
    <w:p>
      <w:pPr>
        <w:spacing w:after="120" w:before="80" w:line="276"/>
        <w:jc w:val="both"/>
      </w:pPr>
      <w:r>
        <w:rPr>
          <w:rFonts w:ascii="Calibri" w:cs="Calibri" w:eastAsia="Calibri" w:hAnsi="Calibri"/>
          <w:b w:val="false"/>
          <w:bCs w:val="false"/>
          <w:i w:val="false"/>
          <w:iCs w:val="false"/>
          <w:color w:val="0F172A"/>
          <w:sz w:val="22"/>
          <w:szCs w:val="22"/>
        </w:rPr>
        <w:t xml:space="preserve">1. Calculadora de Sanciones e Intereses Moratorios (Art. 641 y 634 E.T.): disponible en los planes. El usuario ingresa la fecha de vencimiento y la fecha real de pago; el sistema liquida automáticamente la sanción mínima por extemporaneidad ($524.000 COP o el 5% del valor a declarar, el mayor de los dos) más los intereses moratorios por día de mora según la tasa de usura de la Superintendencia Financiera. Esto permite al contribuyente conocer el costo exacto antes de decidir si pagar o no.</w:t>
      </w:r>
    </w:p>
    <w:p>
      <w:pPr>
        <w:spacing w:after="120" w:before="80" w:line="276"/>
        <w:jc w:val="both"/>
      </w:pPr>
      <w:r>
        <w:rPr>
          <w:rFonts w:ascii="Calibri" w:cs="Calibri" w:eastAsia="Calibri" w:hAnsi="Calibri"/>
          <w:b w:val="false"/>
          <w:bCs w:val="false"/>
          <w:i w:val="false"/>
          <w:iCs w:val="false"/>
          <w:color w:val="0F172A"/>
          <w:sz w:val="22"/>
          <w:szCs w:val="22"/>
        </w:rPr>
        <w:t xml:space="preserve">2. Plantilla Power BI — Cruce de Anticipos y Cuentas por Pagar (CxP): tablero interactivo para conciliar y cruzar los anticipos entregados frente a las cuentas por pagar y pagos realizados por cada proveedor dentro de la operación contable. Permite al equipo financiero y contable identificar de forma visual diferencias de imputación, saldos pendientes y compromisos por pagar durante el ejercicio.</w:t>
      </w:r>
    </w:p>
    <w:p>
      <w:pPr>
        <w:spacing w:after="120" w:before="80" w:line="276"/>
        <w:jc w:val="both"/>
      </w:pPr>
      <w:r>
        <w:rPr>
          <w:rFonts w:ascii="Calibri" w:cs="Calibri" w:eastAsia="Calibri" w:hAnsi="Calibri"/>
          <w:b w:val="false"/>
          <w:bCs w:val="false"/>
          <w:i w:val="false"/>
          <w:iCs w:val="false"/>
          <w:color w:val="0F172A"/>
          <w:sz w:val="22"/>
          <w:szCs w:val="22"/>
        </w:rPr>
        <w:t xml:space="preserve">3. Plantilla Power BI — Reporte DIAN vs. Contabilidad: tablero de conciliación y auditoría fiscal disponible en el Plan Empresarial. Confronta y valida de forma automática el registro de facturas electrónicas (de venta y compra) descargadas de la plataforma de la DIAN frente a los movimientos y causaciones registrados en el software contable de la empresa. Genera una matriz de diferencias explícitas que permite al contador identificar facturas no contabilizadas, registros duplicados o discrepancias de valores antes del cierre de cada período contable y la firma de las declaraciones.</w:t>
      </w:r>
    </w:p>
    <w:p>
      <w:pPr>
        <w:spacing w:after="120" w:before="80" w:line="276"/>
        <w:jc w:val="both"/>
      </w:pPr>
      <w:r>
        <w:rPr>
          <w:rFonts w:ascii="Calibri" w:cs="Calibri" w:eastAsia="Calibri" w:hAnsi="Calibri"/>
          <w:b w:val="false"/>
          <w:bCs w:val="false"/>
          <w:i w:val="false"/>
          <w:iCs w:val="false"/>
          <w:color w:val="0F172A"/>
          <w:sz w:val="22"/>
          <w:szCs w:val="22"/>
        </w:rPr>
        <w:t xml:space="preserve">4. Registro de log de envíos (bitácora de alertas): el administrador puede ver en tiempo real cuándo se enviaron las alertas, a qué correo y si fueron recibidas correctamente.</w:t>
      </w:r>
    </w:p>
    <w:p>
      <w:pPr>
        <w:spacing w:after="120" w:before="80" w:line="276"/>
        <w:jc w:val="both"/>
      </w:pPr>
      <w:r>
        <w:rPr>
          <w:rFonts w:ascii="Calibri" w:cs="Calibri" w:eastAsia="Calibri" w:hAnsi="Calibri"/>
          <w:b w:val="false"/>
          <w:bCs w:val="false"/>
          <w:i w:val="false"/>
          <w:iCs w:val="false"/>
          <w:color w:val="0F172A"/>
          <w:sz w:val="22"/>
          <w:szCs w:val="22"/>
        </w:rPr>
        <w:t xml:space="preserve">5. Gestión de solicitudes de suscripción: el usuario puede enviar una solicitud de activación de plan directamente desde la plataforma, con aprobación del administrador.</w:t>
      </w:r>
    </w:p>
    <w:p>
      <w:pPr>
        <w:spacing w:after="120" w:before="80" w:line="276"/>
        <w:jc w:val="both"/>
      </w:pPr>
      <w:r>
        <w:rPr>
          <w:rFonts w:ascii="Calibri" w:cs="Calibri" w:eastAsia="Calibri" w:hAnsi="Calibri"/>
          <w:b w:val="false"/>
          <w:bCs w:val="false"/>
          <w:i w:val="false"/>
          <w:iCs w:val="false"/>
          <w:color w:val="0F172A"/>
          <w:sz w:val="22"/>
          <w:szCs w:val="22"/>
        </w:rPr>
        <w:t xml:space="preserve">6. Acceso multi-dispositivo con control de sesiones: el contador puede usar su cuenta desde el computador de la oficina y desde su celular de forma simultánea y segura.</w:t>
      </w:r>
    </w:p>
    <w:p>
      <w:pPr>
        <w:pStyle w:val="Heading2"/>
        <w:spacing w:after="120" w:before="280"/>
      </w:pPr>
      <w:r>
        <w:rPr>
          <w:rFonts w:ascii="Calibri" w:cs="Calibri" w:eastAsia="Calibri" w:hAnsi="Calibri"/>
          <w:b/>
          <w:bCs/>
          <w:i w:val="false"/>
          <w:iCs w:val="false"/>
          <w:color w:val="0284C7"/>
          <w:sz w:val="24"/>
          <w:szCs w:val="24"/>
        </w:rPr>
        <w:t xml:space="preserve">2.9 ¿CÓMO Y DÓNDE VENDERÍAS TUS PRODUCTOS?</w:t>
      </w:r>
    </w:p>
    <w:p>
      <w:pPr>
        <w:spacing w:after="120" w:before="80" w:line="276"/>
        <w:jc w:val="both"/>
      </w:pPr>
      <w:r>
        <w:rPr>
          <w:rFonts w:ascii="Calibri" w:cs="Calibri" w:eastAsia="Calibri" w:hAnsi="Calibri"/>
          <w:b w:val="false"/>
          <w:bCs w:val="false"/>
          <w:i w:val="false"/>
          <w:iCs w:val="false"/>
          <w:color w:val="0F172A"/>
          <w:sz w:val="22"/>
          <w:szCs w:val="22"/>
        </w:rPr>
        <w:t xml:space="preserve">TributoApp opera bajo un canal de distribución de venta directa al consumidor final (Productor → Consumidor final), que es la forma más eficiente para un servicio digital SaaS. El cliente accede a la plataforma en línea, se registra, elige su plan y paga sin intermediarios.</w:t>
      </w:r>
    </w:p>
    <w:p>
      <w:pPr>
        <w:spacing w:after="120" w:before="80" w:line="276"/>
        <w:jc w:val="both"/>
      </w:pPr>
      <w:r>
        <w:rPr>
          <w:rFonts w:ascii="Calibri" w:cs="Calibri" w:eastAsia="Calibri" w:hAnsi="Calibri"/>
          <w:b w:val="false"/>
          <w:bCs w:val="false"/>
          <w:i w:val="false"/>
          <w:iCs w:val="false"/>
          <w:color w:val="0F172A"/>
          <w:sz w:val="22"/>
          <w:szCs w:val="22"/>
        </w:rPr>
        <w:t xml:space="preserve">Canal de distribución: Directo. El mismo sitio web (https://tributoapp-next.vercel.app) es el punto de venta, entrega y soporte del servicio. No se requieren distribuidores, minoristas ni almacenes físicos.</w:t>
      </w:r>
    </w:p>
    <w:p>
      <w:pPr>
        <w:spacing w:after="120" w:before="80" w:line="276"/>
        <w:jc w:val="both"/>
      </w:pPr>
      <w:r>
        <w:rPr>
          <w:rFonts w:ascii="Calibri" w:cs="Calibri" w:eastAsia="Calibri" w:hAnsi="Calibri"/>
          <w:b w:val="false"/>
          <w:bCs w:val="false"/>
          <w:i w:val="false"/>
          <w:iCs w:val="false"/>
          <w:color w:val="0F172A"/>
          <w:sz w:val="22"/>
          <w:szCs w:val="22"/>
        </w:rPr>
        <w:t xml:space="preserve">Punto de venta directo: La plataforma es el punto de venta, que funciona como el lugar donde el cliente "recoge" el producto (acceso al sistema de alertas) y desde donde lo consume (recibe sus correos de alerta).</w:t>
      </w:r>
    </w:p>
    <w:p>
      <w:pPr>
        <w:pStyle w:val="Heading1"/>
        <w:pBdr>
          <w:bottom w:val="single" w:color="0284C7" w:sz="12" w:space="4"/>
        </w:pBdr>
        <w:spacing w:after="160" w:before="400"/>
      </w:pPr>
      <w:r>
        <w:rPr>
          <w:rFonts w:ascii="Calibri" w:cs="Calibri" w:eastAsia="Calibri" w:hAnsi="Calibri"/>
          <w:b/>
          <w:bCs/>
          <w:i w:val="false"/>
          <w:iCs w:val="false"/>
          <w:color w:val="1E2A5A"/>
          <w:sz w:val="26"/>
          <w:szCs w:val="26"/>
        </w:rPr>
        <w:t xml:space="preserve">3.0 MERCADOTECNIA DE LA EMPRESA</w:t>
      </w:r>
    </w:p>
    <w:p>
      <w:pPr>
        <w:pStyle w:val="Heading2"/>
        <w:spacing w:after="120" w:before="280"/>
      </w:pPr>
      <w:r>
        <w:rPr>
          <w:rFonts w:ascii="Calibri" w:cs="Calibri" w:eastAsia="Calibri" w:hAnsi="Calibri"/>
          <w:b/>
          <w:bCs/>
          <w:i w:val="false"/>
          <w:iCs w:val="false"/>
          <w:color w:val="0284C7"/>
          <w:sz w:val="24"/>
          <w:szCs w:val="24"/>
        </w:rPr>
        <w:t xml:space="preserve">Plan de Introducción al Mercado</w:t>
      </w:r>
    </w:p>
    <w:p>
      <w:pPr>
        <w:spacing w:after="120" w:before="80" w:line="276"/>
        <w:jc w:val="both"/>
      </w:pPr>
      <w:r>
        <w:rPr>
          <w:rFonts w:ascii="Calibri" w:cs="Calibri" w:eastAsia="Calibri" w:hAnsi="Calibri"/>
          <w:b w:val="false"/>
          <w:bCs w:val="false"/>
          <w:i w:val="false"/>
          <w:iCs w:val="false"/>
          <w:color w:val="0F172A"/>
          <w:sz w:val="22"/>
          <w:szCs w:val="22"/>
        </w:rPr>
        <w:t xml:space="preserve">La estrategia de entrada al mercado combina marketing de contenidos, presencia en redes sociales profesionales y alianzas contables. El objetivo principal es que el contador colombiano conozca TributoApp antes de que sufra su próxima sanción, no después.</w:t>
      </w:r>
    </w:p>
    <w:p>
      <w:pPr>
        <w:pStyle w:val="Heading3"/>
        <w:spacing w:after="80" w:before="200"/>
      </w:pPr>
      <w:r>
        <w:rPr>
          <w:rFonts w:ascii="Calibri" w:cs="Calibri" w:eastAsia="Calibri" w:hAnsi="Calibri"/>
          <w:b/>
          <w:bCs/>
          <w:i w:val="false"/>
          <w:iCs w:val="false"/>
          <w:color w:val="0F172A"/>
          <w:sz w:val="22"/>
          <w:szCs w:val="22"/>
        </w:rPr>
        <w:t xml:space="preserve">PROMOCIONES</w:t>
      </w:r>
    </w:p>
    <w:p>
      <w:pPr>
        <w:spacing w:after="120" w:before="80" w:line="276"/>
        <w:jc w:val="both"/>
      </w:pPr>
      <w:r>
        <w:rPr>
          <w:rFonts w:ascii="Calibri" w:cs="Calibri" w:eastAsia="Calibri" w:hAnsi="Calibri"/>
          <w:b w:val="false"/>
          <w:bCs w:val="false"/>
          <w:i w:val="false"/>
          <w:iCs w:val="false"/>
          <w:color w:val="0F172A"/>
          <w:sz w:val="22"/>
          <w:szCs w:val="22"/>
        </w:rPr>
        <w:t xml:space="preserve">• Período de prueba gratuita de 3 días sin tarjeta de crédito al momento del registro. El usuario prueba el sistema completo y recibe una alerta de demostración.</w:t>
      </w:r>
    </w:p>
    <w:p>
      <w:pPr>
        <w:spacing w:after="120" w:before="80" w:line="276"/>
        <w:jc w:val="both"/>
      </w:pPr>
      <w:r>
        <w:rPr>
          <w:rFonts w:ascii="Calibri" w:cs="Calibri" w:eastAsia="Calibri" w:hAnsi="Calibri"/>
          <w:b w:val="false"/>
          <w:bCs w:val="false"/>
          <w:i w:val="false"/>
          <w:iCs w:val="false"/>
          <w:color w:val="0F172A"/>
          <w:sz w:val="22"/>
          <w:szCs w:val="22"/>
        </w:rPr>
        <w:t xml:space="preserve">• Descuento del 20% sobre el precio mensual al contratar cualquier plan en modalidad anual.</w:t>
      </w:r>
    </w:p>
    <w:p>
      <w:pPr>
        <w:spacing w:after="120" w:before="80" w:line="276"/>
        <w:jc w:val="both"/>
      </w:pPr>
      <w:r>
        <w:rPr>
          <w:rFonts w:ascii="Calibri" w:cs="Calibri" w:eastAsia="Calibri" w:hAnsi="Calibri"/>
          <w:b w:val="false"/>
          <w:bCs w:val="false"/>
          <w:i w:val="false"/>
          <w:iCs w:val="false"/>
          <w:color w:val="0F172A"/>
          <w:sz w:val="22"/>
          <w:szCs w:val="22"/>
        </w:rPr>
        <w:t xml:space="preserve">• Referidos: el usuario que refiera a otro contador activo recibe un mes de suscripción gratuita.</w:t>
      </w:r>
    </w:p>
    <w:p>
      <w:pPr>
        <w:pStyle w:val="Heading3"/>
        <w:spacing w:after="80" w:before="200"/>
      </w:pPr>
      <w:r>
        <w:rPr>
          <w:rFonts w:ascii="Calibri" w:cs="Calibri" w:eastAsia="Calibri" w:hAnsi="Calibri"/>
          <w:b/>
          <w:bCs/>
          <w:i w:val="false"/>
          <w:iCs w:val="false"/>
          <w:color w:val="0F172A"/>
          <w:sz w:val="22"/>
          <w:szCs w:val="22"/>
        </w:rPr>
        <w:t xml:space="preserve">PUBLICIDAD</w:t>
      </w:r>
    </w:p>
    <w:p>
      <w:pPr>
        <w:spacing w:after="120" w:before="80" w:line="276"/>
        <w:jc w:val="both"/>
      </w:pPr>
      <w:r>
        <w:rPr>
          <w:rFonts w:ascii="Calibri" w:cs="Calibri" w:eastAsia="Calibri" w:hAnsi="Calibri"/>
          <w:b w:val="false"/>
          <w:bCs w:val="false"/>
          <w:i w:val="false"/>
          <w:iCs w:val="false"/>
          <w:color w:val="0F172A"/>
          <w:sz w:val="22"/>
          <w:szCs w:val="22"/>
        </w:rPr>
        <w:t xml:space="preserve">Los medios publicitarios para utilizar son:</w:t>
      </w:r>
    </w:p>
    <w:p>
      <w:pPr>
        <w:spacing w:after="120" w:before="80" w:line="276"/>
        <w:jc w:val="both"/>
      </w:pPr>
      <w:r>
        <w:rPr>
          <w:rFonts w:ascii="Calibri" w:cs="Calibri" w:eastAsia="Calibri" w:hAnsi="Calibri"/>
          <w:b w:val="false"/>
          <w:bCs w:val="false"/>
          <w:i w:val="false"/>
          <w:iCs w:val="false"/>
          <w:color w:val="0F172A"/>
          <w:sz w:val="22"/>
          <w:szCs w:val="22"/>
        </w:rPr>
        <w:t xml:space="preserve">• Redes sociales: Facebook (dirigido a contadores y CFOs), Instagram y TikTok (contenido educativo corto sobre fechas tributarias y sanciones).</w:t>
      </w:r>
    </w:p>
    <w:p>
      <w:pPr>
        <w:spacing w:after="120" w:before="80" w:line="276"/>
        <w:jc w:val="both"/>
      </w:pPr>
      <w:r>
        <w:rPr>
          <w:rFonts w:ascii="Calibri" w:cs="Calibri" w:eastAsia="Calibri" w:hAnsi="Calibri"/>
          <w:b w:val="false"/>
          <w:bCs w:val="false"/>
          <w:i w:val="false"/>
          <w:iCs w:val="false"/>
          <w:color w:val="0F172A"/>
          <w:sz w:val="22"/>
          <w:szCs w:val="22"/>
        </w:rPr>
        <w:t xml:space="preserve">• Google Ads: campañas por palabras clave como "vencimiento IVA 2025", "calendario DIAN", "sanciones extemporaneidad".</w:t>
      </w:r>
    </w:p>
    <w:p>
      <w:pPr>
        <w:spacing w:after="120" w:before="80" w:line="276"/>
        <w:jc w:val="both"/>
      </w:pPr>
      <w:r>
        <w:rPr>
          <w:rFonts w:ascii="Calibri" w:cs="Calibri" w:eastAsia="Calibri" w:hAnsi="Calibri"/>
          <w:b w:val="false"/>
          <w:bCs w:val="false"/>
          <w:i w:val="false"/>
          <w:iCs w:val="false"/>
          <w:color w:val="0F172A"/>
          <w:sz w:val="22"/>
          <w:szCs w:val="22"/>
        </w:rPr>
        <w:t xml:space="preserve">• WhatsApp Business: comunicación directa con prospectos que solicitan información.</w:t>
      </w:r>
    </w:p>
    <w:p>
      <w:pPr>
        <w:spacing w:after="120" w:before="80" w:line="276"/>
        <w:jc w:val="both"/>
      </w:pPr>
      <w:r>
        <w:rPr>
          <w:rFonts w:ascii="Calibri" w:cs="Calibri" w:eastAsia="Calibri" w:hAnsi="Calibri"/>
          <w:b w:val="false"/>
          <w:bCs w:val="false"/>
          <w:i w:val="false"/>
          <w:iCs w:val="false"/>
          <w:color w:val="0F172A"/>
          <w:sz w:val="22"/>
          <w:szCs w:val="22"/>
        </w:rPr>
        <w:t xml:space="preserve">• Webinars gratuitos: charlas virtuales quincenales sobre cambios normativos DIAN, en alianza con facultades de Contaduría Pública de la Universidad del Atlántico y la UNIBARRANQUILLA.</w:t>
      </w:r>
    </w:p>
    <w:p>
      <w:pPr>
        <w:pStyle w:val="Heading3"/>
        <w:spacing w:after="80" w:before="200"/>
      </w:pPr>
      <w:r>
        <w:rPr>
          <w:rFonts w:ascii="Calibri" w:cs="Calibri" w:eastAsia="Calibri" w:hAnsi="Calibri"/>
          <w:b/>
          <w:bCs/>
          <w:i w:val="false"/>
          <w:iCs w:val="false"/>
          <w:color w:val="0F172A"/>
          <w:sz w:val="22"/>
          <w:szCs w:val="22"/>
        </w:rPr>
        <w:t xml:space="preserve">MERCADEO</w:t>
      </w:r>
    </w:p>
    <w:p>
      <w:pPr>
        <w:spacing w:after="120" w:before="80" w:line="276"/>
        <w:jc w:val="both"/>
      </w:pPr>
      <w:r>
        <w:rPr>
          <w:rFonts w:ascii="Calibri" w:cs="Calibri" w:eastAsia="Calibri" w:hAnsi="Calibri"/>
          <w:b w:val="false"/>
          <w:bCs w:val="false"/>
          <w:i w:val="false"/>
          <w:iCs w:val="false"/>
          <w:color w:val="0F172A"/>
          <w:sz w:val="22"/>
          <w:szCs w:val="22"/>
        </w:rPr>
        <w:t xml:space="preserve">Estrategia de precio de penetración: precio inicial bajo para generar masa crítica de usuarios. La estrategia de fidelización se basa en la creación de valor continuo mediante actualizaciones del calendario, mejoras de la plataforma y contenido normativo exclusivo para suscriptores.</w:t>
      </w:r>
    </w:p>
    <w:p>
      <w:pPr>
        <w:pStyle w:val="Heading1"/>
        <w:pBdr>
          <w:bottom w:val="single" w:color="0284C7" w:sz="12" w:space="4"/>
        </w:pBdr>
        <w:spacing w:after="160" w:before="400"/>
      </w:pPr>
      <w:r>
        <w:rPr>
          <w:rFonts w:ascii="Calibri" w:cs="Calibri" w:eastAsia="Calibri" w:hAnsi="Calibri"/>
          <w:b/>
          <w:bCs/>
          <w:i w:val="false"/>
          <w:iCs w:val="false"/>
          <w:color w:val="1E2A5A"/>
          <w:sz w:val="26"/>
          <w:szCs w:val="26"/>
        </w:rPr>
        <w:t xml:space="preserve">4.0 ASPECTOS TÉCNICOS DEL PROYECTO</w:t>
      </w:r>
    </w:p>
    <w:p>
      <w:pPr>
        <w:pStyle w:val="Heading2"/>
        <w:spacing w:after="120" w:before="280"/>
      </w:pPr>
      <w:r>
        <w:rPr>
          <w:rFonts w:ascii="Calibri" w:cs="Calibri" w:eastAsia="Calibri" w:hAnsi="Calibri"/>
          <w:b/>
          <w:bCs/>
          <w:i w:val="false"/>
          <w:iCs w:val="false"/>
          <w:color w:val="0284C7"/>
          <w:sz w:val="24"/>
          <w:szCs w:val="24"/>
        </w:rPr>
        <w:t xml:space="preserve">4.1 DESCRIPCIÓN TÉCNICA DEL PRODUCTO Y/O SERVICIO</w:t>
      </w:r>
    </w:p>
    <w:p>
      <w:pPr>
        <w:spacing w:after="120" w:before="80" w:line="276"/>
        <w:jc w:val="both"/>
      </w:pPr>
      <w:r>
        <w:rPr>
          <w:rFonts w:ascii="Calibri" w:cs="Calibri" w:eastAsia="Calibri" w:hAnsi="Calibri"/>
          <w:b w:val="false"/>
          <w:bCs w:val="false"/>
          <w:i w:val="false"/>
          <w:iCs w:val="false"/>
          <w:color w:val="0F172A"/>
          <w:sz w:val="22"/>
          <w:szCs w:val="22"/>
        </w:rPr>
        <w:t xml:space="preserve">• Marca: TributoApp S.A.S. | Logo: icono de campana de alerta con escudo tributario en azul marino y verde éxito. Eslogan: "Cero sanciones. 100% tranquilidad."</w:t>
      </w:r>
    </w:p>
    <w:p>
      <w:pPr>
        <w:spacing w:after="120" w:before="80" w:line="276"/>
        <w:jc w:val="both"/>
      </w:pPr>
      <w:r>
        <w:rPr>
          <w:rFonts w:ascii="Calibri" w:cs="Calibri" w:eastAsia="Calibri" w:hAnsi="Calibri"/>
          <w:b w:val="false"/>
          <w:bCs w:val="false"/>
          <w:i w:val="false"/>
          <w:iCs w:val="false"/>
          <w:color w:val="0F172A"/>
          <w:sz w:val="22"/>
          <w:szCs w:val="22"/>
        </w:rPr>
        <w:t xml:space="preserve">• Tamaños / Planes: Básico (1 NIT, alertas por correo, $14.900/mes), Profesional (hasta 10 NITs, alertas prioritarias, $24.900/mes), Empresarial (NITs ilimitados + Power BI + soporte dedicado, $39.900/mes).</w:t>
      </w:r>
    </w:p>
    <w:p>
      <w:pPr>
        <w:spacing w:after="120" w:before="80" w:line="276"/>
        <w:jc w:val="both"/>
      </w:pPr>
      <w:r>
        <w:rPr>
          <w:rFonts w:ascii="Calibri" w:cs="Calibri" w:eastAsia="Calibri" w:hAnsi="Calibri"/>
          <w:b w:val="false"/>
          <w:bCs w:val="false"/>
          <w:i w:val="false"/>
          <w:iCs w:val="false"/>
          <w:color w:val="0F172A"/>
          <w:sz w:val="22"/>
          <w:szCs w:val="22"/>
        </w:rPr>
        <w:t xml:space="preserve">• Colores: Azul marino y verde como colores corporativos primarios.</w:t>
      </w:r>
    </w:p>
    <w:p>
      <w:pPr>
        <w:spacing w:after="120" w:before="80" w:line="276"/>
        <w:jc w:val="both"/>
      </w:pPr>
      <w:r>
        <w:rPr>
          <w:rFonts w:ascii="Calibri" w:cs="Calibri" w:eastAsia="Calibri" w:hAnsi="Calibri"/>
          <w:b w:val="false"/>
          <w:bCs w:val="false"/>
          <w:i w:val="false"/>
          <w:iCs w:val="false"/>
          <w:color w:val="0F172A"/>
          <w:sz w:val="22"/>
          <w:szCs w:val="22"/>
        </w:rPr>
        <w:t xml:space="preserve">• Empaque: No aplica (servicio digital). El "empaque" es la interfaz web y el correo de bienvenida institucional.</w:t>
      </w:r>
    </w:p>
    <w:p>
      <w:pPr>
        <w:spacing w:after="120" w:before="80" w:line="276"/>
        <w:jc w:val="both"/>
      </w:pPr>
      <w:r>
        <w:rPr>
          <w:rFonts w:ascii="Calibri" w:cs="Calibri" w:eastAsia="Calibri" w:hAnsi="Calibri"/>
          <w:b w:val="false"/>
          <w:bCs w:val="false"/>
          <w:i w:val="false"/>
          <w:iCs w:val="false"/>
          <w:color w:val="0F172A"/>
          <w:sz w:val="22"/>
          <w:szCs w:val="22"/>
        </w:rPr>
        <w:t xml:space="preserve">• Etiqueta / Certificaciones: Cumplimiento de ISO/IEC 27001 (seguridad de la información) y política de privacidad conforme a la Ley 1581 de 2012.</w:t>
      </w:r>
    </w:p>
    <w:p>
      <w:pPr>
        <w:pStyle w:val="Heading2"/>
        <w:spacing w:after="120" w:before="280"/>
      </w:pPr>
      <w:r>
        <w:rPr>
          <w:rFonts w:ascii="Calibri" w:cs="Calibri" w:eastAsia="Calibri" w:hAnsi="Calibri"/>
          <w:b/>
          <w:bCs/>
          <w:i w:val="false"/>
          <w:iCs w:val="false"/>
          <w:color w:val="0284C7"/>
          <w:sz w:val="24"/>
          <w:szCs w:val="24"/>
        </w:rPr>
        <w:t xml:space="preserve">4.2 TAMAÑO DEL PROYECTO</w:t>
      </w:r>
    </w:p>
    <w:p>
      <w:pPr>
        <w:spacing w:after="120" w:before="80" w:line="276"/>
        <w:jc w:val="both"/>
      </w:pPr>
      <w:r>
        <w:rPr>
          <w:rFonts w:ascii="Calibri" w:cs="Calibri" w:eastAsia="Calibri" w:hAnsi="Calibri"/>
          <w:b w:val="false"/>
          <w:bCs w:val="false"/>
          <w:i w:val="false"/>
          <w:iCs w:val="false"/>
          <w:color w:val="0F172A"/>
          <w:sz w:val="22"/>
          <w:szCs w:val="22"/>
        </w:rPr>
        <w:t xml:space="preserve">Capacidad instalada: La infraestructura en la nube (Supabase PostgreSQL + Vercel Edge Network) soporta hasta 2.000 usuarios activos simultáneos sin requerir cambios de plan. Esta es la capacidad instalada desde el primer día de operación.</w:t>
      </w:r>
    </w:p>
    <w:p>
      <w:pPr>
        <w:spacing w:after="120" w:before="80" w:line="276"/>
        <w:jc w:val="both"/>
      </w:pPr>
      <w:r>
        <w:rPr>
          <w:rFonts w:ascii="Calibri" w:cs="Calibri" w:eastAsia="Calibri" w:hAnsi="Calibri"/>
          <w:b w:val="false"/>
          <w:bCs w:val="false"/>
          <w:i w:val="false"/>
          <w:iCs w:val="false"/>
          <w:color w:val="0F172A"/>
          <w:sz w:val="22"/>
          <w:szCs w:val="22"/>
        </w:rPr>
        <w:t xml:space="preserve">Capacidad real Año 1: Se proyecta captar el 28,5% de la capacidad instalada = 570 usuarios/mes en promedio, permitiendo a la empresa cubrir el 100% de sus costos y gastos operativos y alcanzar el punto de equilibrio financiero desde el primer año de operaciones.</w:t>
      </w:r>
    </w:p>
    <w:p>
      <w:pPr>
        <w:pStyle w:val="Heading2"/>
        <w:spacing w:after="120" w:before="280"/>
      </w:pPr>
      <w:r>
        <w:rPr>
          <w:rFonts w:ascii="Calibri" w:cs="Calibri" w:eastAsia="Calibri" w:hAnsi="Calibri"/>
          <w:b/>
          <w:bCs/>
          <w:i w:val="false"/>
          <w:iCs w:val="false"/>
          <w:color w:val="0284C7"/>
          <w:sz w:val="24"/>
          <w:szCs w:val="24"/>
        </w:rPr>
        <w:t xml:space="preserve">4.2 DESCRIPCIÓN DE LA MAQUINARIA, EQUIPOS Y MUEBLES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rPr>
          <w:tblHeader/>
        </w:trPr>
        <w:tc>
          <w:tcPr>
            <w:tcW w:type="pct" w:w="36%"/>
            <w:tcBorders>
              <w:top w:val="single" w:color="CBD5E1" w:sz="4"/>
              <w:left w:val="single" w:color="CBD5E1" w:sz="4"/>
              <w:bottom w:val="single" w:color="CBD5E1" w:sz="4"/>
              <w:right w:val="single" w:color="CBD5E1" w:sz="4"/>
            </w:tcBorders>
            <w:shd w:fill="1E2A5A" w:val="clear"/>
            <w:tcMar>
              <w:top w:type="dxa" w:w="80"/>
              <w:left w:type="dxa" w:w="100"/>
              <w:bottom w:type="dxa" w:w="80"/>
              <w:right w:type="dxa" w:w="80"/>
            </w:tcMar>
            <w:vAlign w:val="center"/>
          </w:tcPr>
          <w:p>
            <w:pPr>
              <w:jc w:val="center"/>
            </w:pPr>
            <w:r>
              <w:rPr>
                <w:rFonts w:ascii="Calibri" w:cs="Calibri" w:eastAsia="Calibri" w:hAnsi="Calibri"/>
                <w:b/>
                <w:bCs/>
                <w:i w:val="false"/>
                <w:iCs w:val="false"/>
                <w:color w:val="FFFFFF"/>
                <w:sz w:val="20"/>
                <w:szCs w:val="20"/>
              </w:rPr>
              <w:t xml:space="preserve">Activo Fijo</w:t>
            </w:r>
          </w:p>
        </w:tc>
        <w:tc>
          <w:tcPr>
            <w:tcW w:type="pct" w:w="6%"/>
            <w:tcBorders>
              <w:top w:val="single" w:color="CBD5E1" w:sz="4"/>
              <w:left w:val="single" w:color="CBD5E1" w:sz="4"/>
              <w:bottom w:val="single" w:color="CBD5E1" w:sz="4"/>
              <w:right w:val="single" w:color="CBD5E1" w:sz="4"/>
            </w:tcBorders>
            <w:shd w:fill="1E2A5A" w:val="clear"/>
            <w:tcMar>
              <w:top w:type="dxa" w:w="80"/>
              <w:left w:type="dxa" w:w="100"/>
              <w:bottom w:type="dxa" w:w="80"/>
              <w:right w:type="dxa" w:w="80"/>
            </w:tcMar>
            <w:vAlign w:val="center"/>
          </w:tcPr>
          <w:p>
            <w:pPr>
              <w:jc w:val="center"/>
            </w:pPr>
            <w:r>
              <w:rPr>
                <w:rFonts w:ascii="Calibri" w:cs="Calibri" w:eastAsia="Calibri" w:hAnsi="Calibri"/>
                <w:b/>
                <w:bCs/>
                <w:i w:val="false"/>
                <w:iCs w:val="false"/>
                <w:color w:val="FFFFFF"/>
                <w:sz w:val="20"/>
                <w:szCs w:val="20"/>
              </w:rPr>
              <w:t xml:space="preserve">Cant.</w:t>
            </w:r>
          </w:p>
        </w:tc>
        <w:tc>
          <w:tcPr>
            <w:tcW w:type="pct" w:w="18%"/>
            <w:tcBorders>
              <w:top w:val="single" w:color="CBD5E1" w:sz="4"/>
              <w:left w:val="single" w:color="CBD5E1" w:sz="4"/>
              <w:bottom w:val="single" w:color="CBD5E1" w:sz="4"/>
              <w:right w:val="single" w:color="CBD5E1" w:sz="4"/>
            </w:tcBorders>
            <w:shd w:fill="1E2A5A" w:val="clear"/>
            <w:tcMar>
              <w:top w:type="dxa" w:w="80"/>
              <w:left w:type="dxa" w:w="100"/>
              <w:bottom w:type="dxa" w:w="80"/>
              <w:right w:type="dxa" w:w="80"/>
            </w:tcMar>
            <w:vAlign w:val="center"/>
          </w:tcPr>
          <w:p>
            <w:pPr>
              <w:jc w:val="center"/>
            </w:pPr>
            <w:r>
              <w:rPr>
                <w:rFonts w:ascii="Calibri" w:cs="Calibri" w:eastAsia="Calibri" w:hAnsi="Calibri"/>
                <w:b/>
                <w:bCs/>
                <w:i w:val="false"/>
                <w:iCs w:val="false"/>
                <w:color w:val="FFFFFF"/>
                <w:sz w:val="20"/>
                <w:szCs w:val="20"/>
              </w:rPr>
              <w:t xml:space="preserve">Costo Unitario (COP)</w:t>
            </w:r>
          </w:p>
        </w:tc>
        <w:tc>
          <w:tcPr>
            <w:tcW w:type="pct" w:w="18%"/>
            <w:tcBorders>
              <w:top w:val="single" w:color="CBD5E1" w:sz="4"/>
              <w:left w:val="single" w:color="CBD5E1" w:sz="4"/>
              <w:bottom w:val="single" w:color="CBD5E1" w:sz="4"/>
              <w:right w:val="single" w:color="CBD5E1" w:sz="4"/>
            </w:tcBorders>
            <w:shd w:fill="1E2A5A" w:val="clear"/>
            <w:tcMar>
              <w:top w:type="dxa" w:w="80"/>
              <w:left w:type="dxa" w:w="100"/>
              <w:bottom w:type="dxa" w:w="80"/>
              <w:right w:type="dxa" w:w="80"/>
            </w:tcMar>
            <w:vAlign w:val="center"/>
          </w:tcPr>
          <w:p>
            <w:pPr>
              <w:jc w:val="center"/>
            </w:pPr>
            <w:r>
              <w:rPr>
                <w:rFonts w:ascii="Calibri" w:cs="Calibri" w:eastAsia="Calibri" w:hAnsi="Calibri"/>
                <w:b/>
                <w:bCs/>
                <w:i w:val="false"/>
                <w:iCs w:val="false"/>
                <w:color w:val="FFFFFF"/>
                <w:sz w:val="20"/>
                <w:szCs w:val="20"/>
              </w:rPr>
              <w:t xml:space="preserve">Costo Total (COP)</w:t>
            </w:r>
          </w:p>
        </w:tc>
        <w:tc>
          <w:tcPr>
            <w:tcW w:type="pct" w:w="22%"/>
            <w:tcBorders>
              <w:top w:val="single" w:color="CBD5E1" w:sz="4"/>
              <w:left w:val="single" w:color="CBD5E1" w:sz="4"/>
              <w:bottom w:val="single" w:color="CBD5E1" w:sz="4"/>
              <w:right w:val="single" w:color="CBD5E1" w:sz="4"/>
            </w:tcBorders>
            <w:shd w:fill="1E2A5A" w:val="clear"/>
            <w:tcMar>
              <w:top w:type="dxa" w:w="80"/>
              <w:left w:type="dxa" w:w="100"/>
              <w:bottom w:type="dxa" w:w="80"/>
              <w:right w:type="dxa" w:w="80"/>
            </w:tcMar>
            <w:vAlign w:val="center"/>
          </w:tcPr>
          <w:p>
            <w:pPr>
              <w:jc w:val="center"/>
            </w:pPr>
            <w:r>
              <w:rPr>
                <w:rFonts w:ascii="Calibri" w:cs="Calibri" w:eastAsia="Calibri" w:hAnsi="Calibri"/>
                <w:b/>
                <w:bCs/>
                <w:i w:val="false"/>
                <w:iCs w:val="false"/>
                <w:color w:val="FFFFFF"/>
                <w:sz w:val="20"/>
                <w:szCs w:val="20"/>
              </w:rPr>
              <w:t xml:space="preserve">Uso y Especificación</w:t>
            </w:r>
          </w:p>
        </w:tc>
      </w:tr>
      <w:tr>
        <w:tc>
          <w:tcPr>
            <w:tcW w:type="pct" w:w="36%"/>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Portátil Dell Intel Core i7-1355U / 32GB RAM / 1TB SSD / 15.6" FHD</w:t>
            </w:r>
          </w:p>
        </w:tc>
        <w:tc>
          <w:tcPr>
            <w:tcW w:type="pct" w:w="6%"/>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2</w:t>
            </w:r>
          </w:p>
        </w:tc>
        <w:tc>
          <w:tcPr>
            <w:tcW w:type="pct" w:w="18%"/>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$3.119.900</w:t>
            </w:r>
          </w:p>
        </w:tc>
        <w:tc>
          <w:tcPr>
            <w:tcW w:type="pct" w:w="18%"/>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$6.239.800</w:t>
            </w:r>
          </w:p>
        </w:tc>
        <w:tc>
          <w:tcPr>
            <w:tcW w:type="pct" w:w="22%"/>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Desarrollo full-stack, arquitectura y dirección</w:t>
            </w:r>
          </w:p>
        </w:tc>
      </w:tr>
      <w:tr>
        <w:tc>
          <w:tcPr>
            <w:tcW w:type="pct" w:w="36%"/>
            <w:tcBorders>
              <w:top w:val="single" w:color="CBD5E1" w:sz="4"/>
              <w:left w:val="single" w:color="CBD5E1" w:sz="4"/>
              <w:bottom w:val="single" w:color="CBD5E1" w:sz="4"/>
              <w:right w:val="single" w:color="CBD5E1" w:sz="4"/>
            </w:tcBorders>
            <w:shd w:fill="F8FAFC"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Portátil ASUS P1412CEA Intel Core i5 / 8GB RAM / 256GB SSD / 14" FHD</w:t>
            </w:r>
          </w:p>
        </w:tc>
        <w:tc>
          <w:tcPr>
            <w:tcW w:type="pct" w:w="6%"/>
            <w:tcBorders>
              <w:top w:val="single" w:color="CBD5E1" w:sz="4"/>
              <w:left w:val="single" w:color="CBD5E1" w:sz="4"/>
              <w:bottom w:val="single" w:color="CBD5E1" w:sz="4"/>
              <w:right w:val="single" w:color="CBD5E1" w:sz="4"/>
            </w:tcBorders>
            <w:shd w:fill="F8FAFC"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1</w:t>
            </w:r>
          </w:p>
        </w:tc>
        <w:tc>
          <w:tcPr>
            <w:tcW w:type="pct" w:w="18%"/>
            <w:tcBorders>
              <w:top w:val="single" w:color="CBD5E1" w:sz="4"/>
              <w:left w:val="single" w:color="CBD5E1" w:sz="4"/>
              <w:bottom w:val="single" w:color="CBD5E1" w:sz="4"/>
              <w:right w:val="single" w:color="CBD5E1" w:sz="4"/>
            </w:tcBorders>
            <w:shd w:fill="F8FAFC"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$2.199.900</w:t>
            </w:r>
          </w:p>
        </w:tc>
        <w:tc>
          <w:tcPr>
            <w:tcW w:type="pct" w:w="18%"/>
            <w:tcBorders>
              <w:top w:val="single" w:color="CBD5E1" w:sz="4"/>
              <w:left w:val="single" w:color="CBD5E1" w:sz="4"/>
              <w:bottom w:val="single" w:color="CBD5E1" w:sz="4"/>
              <w:right w:val="single" w:color="CBD5E1" w:sz="4"/>
            </w:tcBorders>
            <w:shd w:fill="F8FAFC"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$2.199.900</w:t>
            </w:r>
          </w:p>
        </w:tc>
        <w:tc>
          <w:tcPr>
            <w:tcW w:type="pct" w:w="22%"/>
            <w:tcBorders>
              <w:top w:val="single" w:color="CBD5E1" w:sz="4"/>
              <w:left w:val="single" w:color="CBD5E1" w:sz="4"/>
              <w:bottom w:val="single" w:color="CBD5E1" w:sz="4"/>
              <w:right w:val="single" w:color="CBD5E1" w:sz="4"/>
            </w:tcBorders>
            <w:shd w:fill="F8FAFC"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Soporte técnico, gestión operativa y base de datos</w:t>
            </w:r>
          </w:p>
        </w:tc>
      </w:tr>
      <w:tr>
        <w:tc>
          <w:tcPr>
            <w:tcW w:type="pct" w:w="36%"/>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Monitor Gamer UltraGear LG 24" IPS 144Hz 1ms</w:t>
            </w:r>
          </w:p>
        </w:tc>
        <w:tc>
          <w:tcPr>
            <w:tcW w:type="pct" w:w="6%"/>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2</w:t>
            </w:r>
          </w:p>
        </w:tc>
        <w:tc>
          <w:tcPr>
            <w:tcW w:type="pct" w:w="18%"/>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$409.900</w:t>
            </w:r>
          </w:p>
        </w:tc>
        <w:tc>
          <w:tcPr>
            <w:tcW w:type="pct" w:w="18%"/>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$819.800</w:t>
            </w:r>
          </w:p>
        </w:tc>
        <w:tc>
          <w:tcPr>
            <w:tcW w:type="pct" w:w="22%"/>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Pantallas secundarias para optimización de desarrollo</w:t>
            </w:r>
          </w:p>
        </w:tc>
      </w:tr>
      <w:tr>
        <w:tc>
          <w:tcPr>
            <w:tcW w:type="pct" w:w="36%"/>
            <w:tcBorders>
              <w:top w:val="single" w:color="CBD5E1" w:sz="4"/>
              <w:left w:val="single" w:color="CBD5E1" w:sz="4"/>
              <w:bottom w:val="single" w:color="CBD5E1" w:sz="4"/>
              <w:right w:val="single" w:color="CBD5E1" w:sz="4"/>
            </w:tcBorders>
            <w:shd w:fill="F8FAFC"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Puestos de Trabajo (Escritorios + Sillas Ergonómicas)</w:t>
            </w:r>
          </w:p>
        </w:tc>
        <w:tc>
          <w:tcPr>
            <w:tcW w:type="pct" w:w="6%"/>
            <w:tcBorders>
              <w:top w:val="single" w:color="CBD5E1" w:sz="4"/>
              <w:left w:val="single" w:color="CBD5E1" w:sz="4"/>
              <w:bottom w:val="single" w:color="CBD5E1" w:sz="4"/>
              <w:right w:val="single" w:color="CBD5E1" w:sz="4"/>
            </w:tcBorders>
            <w:shd w:fill="F8FAFC"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3</w:t>
            </w:r>
          </w:p>
        </w:tc>
        <w:tc>
          <w:tcPr>
            <w:tcW w:type="pct" w:w="18%"/>
            <w:tcBorders>
              <w:top w:val="single" w:color="CBD5E1" w:sz="4"/>
              <w:left w:val="single" w:color="CBD5E1" w:sz="4"/>
              <w:bottom w:val="single" w:color="CBD5E1" w:sz="4"/>
              <w:right w:val="single" w:color="CBD5E1" w:sz="4"/>
            </w:tcBorders>
            <w:shd w:fill="F8FAFC"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$149.980</w:t>
            </w:r>
          </w:p>
        </w:tc>
        <w:tc>
          <w:tcPr>
            <w:tcW w:type="pct" w:w="18%"/>
            <w:tcBorders>
              <w:top w:val="single" w:color="CBD5E1" w:sz="4"/>
              <w:left w:val="single" w:color="CBD5E1" w:sz="4"/>
              <w:bottom w:val="single" w:color="CBD5E1" w:sz="4"/>
              <w:right w:val="single" w:color="CBD5E1" w:sz="4"/>
            </w:tcBorders>
            <w:shd w:fill="F8FAFC"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$449.940</w:t>
            </w:r>
          </w:p>
        </w:tc>
        <w:tc>
          <w:tcPr>
            <w:tcW w:type="pct" w:w="22%"/>
            <w:tcBorders>
              <w:top w:val="single" w:color="CBD5E1" w:sz="4"/>
              <w:left w:val="single" w:color="CBD5E1" w:sz="4"/>
              <w:bottom w:val="single" w:color="CBD5E1" w:sz="4"/>
              <w:right w:val="single" w:color="CBD5E1" w:sz="4"/>
            </w:tcBorders>
            <w:shd w:fill="F8FAFC"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Estaciones de trabajo ergonómicas para el equipo</w:t>
            </w:r>
          </w:p>
        </w:tc>
      </w:tr>
      <w:tr>
        <w:tc>
          <w:tcPr>
            <w:tcW w:type="pct" w:w="36%"/>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Equipo de Conectividad y Red (Router WiFi 6 + UPS)</w:t>
            </w:r>
          </w:p>
        </w:tc>
        <w:tc>
          <w:tcPr>
            <w:tcW w:type="pct" w:w="6%"/>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1</w:t>
            </w:r>
          </w:p>
        </w:tc>
        <w:tc>
          <w:tcPr>
            <w:tcW w:type="pct" w:w="18%"/>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$249.488</w:t>
            </w:r>
          </w:p>
        </w:tc>
        <w:tc>
          <w:tcPr>
            <w:tcW w:type="pct" w:w="18%"/>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$249.488</w:t>
            </w:r>
          </w:p>
        </w:tc>
        <w:tc>
          <w:tcPr>
            <w:tcW w:type="pct" w:w="22%"/>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Conectividad de alta velocidad y respaldo eléctrico</w:t>
            </w:r>
          </w:p>
        </w:tc>
      </w:tr>
      <w:tr>
        <w:tc>
          <w:tcPr>
            <w:tcW w:type="pct" w:w="36%"/>
            <w:tcBorders>
              <w:top w:val="single" w:color="CBD5E1" w:sz="4"/>
              <w:left w:val="single" w:color="CBD5E1" w:sz="4"/>
              <w:bottom w:val="single" w:color="CBD5E1" w:sz="4"/>
              <w:right w:val="single" w:color="CBD5E1" w:sz="4"/>
            </w:tcBorders>
            <w:shd w:fill="F8FAFC"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TOTAL ACTIVOS FIJOS (Ver Inversion!D17)</w:t>
            </w:r>
          </w:p>
        </w:tc>
        <w:tc>
          <w:tcPr>
            <w:tcW w:type="pct" w:w="6%"/>
            <w:tcBorders>
              <w:top w:val="single" w:color="CBD5E1" w:sz="4"/>
              <w:left w:val="single" w:color="CBD5E1" w:sz="4"/>
              <w:bottom w:val="single" w:color="CBD5E1" w:sz="4"/>
              <w:right w:val="single" w:color="CBD5E1" w:sz="4"/>
            </w:tcBorders>
            <w:shd w:fill="F8FAFC"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9</w:t>
            </w:r>
          </w:p>
        </w:tc>
        <w:tc>
          <w:tcPr>
            <w:tcW w:type="pct" w:w="18%"/>
            <w:tcBorders>
              <w:top w:val="single" w:color="CBD5E1" w:sz="4"/>
              <w:left w:val="single" w:color="CBD5E1" w:sz="4"/>
              <w:bottom w:val="single" w:color="CBD5E1" w:sz="4"/>
              <w:right w:val="single" w:color="CBD5E1" w:sz="4"/>
            </w:tcBorders>
            <w:shd w:fill="F8FAFC"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w:t>
            </w:r>
          </w:p>
        </w:tc>
        <w:tc>
          <w:tcPr>
            <w:tcW w:type="pct" w:w="18%"/>
            <w:tcBorders>
              <w:top w:val="single" w:color="CBD5E1" w:sz="4"/>
              <w:left w:val="single" w:color="CBD5E1" w:sz="4"/>
              <w:bottom w:val="single" w:color="CBD5E1" w:sz="4"/>
              <w:right w:val="single" w:color="CBD5E1" w:sz="4"/>
            </w:tcBorders>
            <w:shd w:fill="F8FAFC"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$9.958.928</w:t>
            </w:r>
          </w:p>
        </w:tc>
        <w:tc>
          <w:tcPr>
            <w:tcW w:type="pct" w:w="22%"/>
            <w:tcBorders>
              <w:top w:val="single" w:color="CBD5E1" w:sz="4"/>
              <w:left w:val="single" w:color="CBD5E1" w:sz="4"/>
              <w:bottom w:val="single" w:color="CBD5E1" w:sz="4"/>
              <w:right w:val="single" w:color="CBD5E1" w:sz="4"/>
            </w:tcBorders>
            <w:shd w:fill="F8FAFC"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Vida útil: 5 años (Línea Recta)</w:t>
            </w:r>
          </w:p>
        </w:tc>
      </w:tr>
    </w:tbl>
    <w:p>
      <w:pPr>
        <w:spacing w:after="60" w:before="6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45%"/>
            <w:tcBorders>
              <w:top w:val="single" w:color="CBD5E1" w:sz="4"/>
              <w:left w:val="single" w:color="CBD5E1" w:sz="4"/>
              <w:bottom w:val="single" w:color="CBD5E1" w:sz="4"/>
              <w:right w:val="single" w:color="CBD5E1" w:sz="4"/>
            </w:tcBorders>
            <w:shd w:fill="1E2A5A" w:val="clear"/>
            <w:tcMar>
              <w:top w:type="dxa" w:w="80"/>
              <w:left w:type="dxa" w:w="100"/>
              <w:bottom w:type="dxa" w:w="80"/>
              <w:right w:type="dxa" w:w="80"/>
            </w:tcMar>
            <w:vAlign w:val="center"/>
          </w:tcPr>
          <w:p>
            <w:pPr>
              <w:jc w:val="center"/>
            </w:pPr>
            <w:r>
              <w:rPr>
                <w:rFonts w:ascii="Calibri" w:cs="Calibri" w:eastAsia="Calibri" w:hAnsi="Calibri"/>
                <w:b/>
                <w:bCs/>
                <w:i w:val="false"/>
                <w:iCs w:val="false"/>
                <w:color w:val="FFFFFF"/>
                <w:sz w:val="20"/>
                <w:szCs w:val="20"/>
              </w:rPr>
              <w:t xml:space="preserve">Activo Intangible / Formalización</w:t>
            </w:r>
          </w:p>
        </w:tc>
        <w:tc>
          <w:tcPr>
            <w:tcW w:type="pct" w:w="18%"/>
            <w:tcBorders>
              <w:top w:val="single" w:color="CBD5E1" w:sz="4"/>
              <w:left w:val="single" w:color="CBD5E1" w:sz="4"/>
              <w:bottom w:val="single" w:color="CBD5E1" w:sz="4"/>
              <w:right w:val="single" w:color="CBD5E1" w:sz="4"/>
            </w:tcBorders>
            <w:shd w:fill="1E2A5A" w:val="clear"/>
            <w:tcMar>
              <w:top w:type="dxa" w:w="80"/>
              <w:left w:type="dxa" w:w="100"/>
              <w:bottom w:type="dxa" w:w="80"/>
              <w:right w:type="dxa" w:w="80"/>
            </w:tcMar>
            <w:vAlign w:val="center"/>
          </w:tcPr>
          <w:p>
            <w:pPr>
              <w:jc w:val="center"/>
            </w:pPr>
            <w:r>
              <w:rPr>
                <w:rFonts w:ascii="Calibri" w:cs="Calibri" w:eastAsia="Calibri" w:hAnsi="Calibri"/>
                <w:b/>
                <w:bCs/>
                <w:i w:val="false"/>
                <w:iCs w:val="false"/>
                <w:color w:val="FFFFFF"/>
                <w:sz w:val="20"/>
                <w:szCs w:val="20"/>
              </w:rPr>
              <w:t xml:space="preserve">Costo (COP)</w:t>
            </w:r>
          </w:p>
        </w:tc>
        <w:tc>
          <w:tcPr>
            <w:tcW w:type="pct" w:w="37%"/>
            <w:tcBorders>
              <w:top w:val="single" w:color="CBD5E1" w:sz="4"/>
              <w:left w:val="single" w:color="CBD5E1" w:sz="4"/>
              <w:bottom w:val="single" w:color="CBD5E1" w:sz="4"/>
              <w:right w:val="single" w:color="CBD5E1" w:sz="4"/>
            </w:tcBorders>
            <w:shd w:fill="1E2A5A" w:val="clear"/>
            <w:tcMar>
              <w:top w:type="dxa" w:w="80"/>
              <w:left w:type="dxa" w:w="100"/>
              <w:bottom w:type="dxa" w:w="80"/>
              <w:right w:type="dxa" w:w="80"/>
            </w:tcMar>
            <w:vAlign w:val="center"/>
          </w:tcPr>
          <w:p>
            <w:pPr>
              <w:jc w:val="center"/>
            </w:pPr>
            <w:r>
              <w:rPr>
                <w:rFonts w:ascii="Calibri" w:cs="Calibri" w:eastAsia="Calibri" w:hAnsi="Calibri"/>
                <w:b/>
                <w:bCs/>
                <w:i w:val="false"/>
                <w:iCs w:val="false"/>
                <w:color w:val="FFFFFF"/>
                <w:sz w:val="20"/>
                <w:szCs w:val="20"/>
              </w:rPr>
              <w:t xml:space="preserve">Descripción y Función</w:t>
            </w:r>
          </w:p>
        </w:tc>
      </w:tr>
      <w:tr>
        <w:tc>
          <w:tcPr>
            <w:tcW w:type="pct" w:w="45%"/>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Registro Mercantil y Constitución S.A.S. (Cámara de Comercio)</w:t>
            </w:r>
          </w:p>
        </w:tc>
        <w:tc>
          <w:tcPr>
            <w:tcW w:type="pct" w:w="18%"/>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$350.000</w:t>
            </w:r>
          </w:p>
        </w:tc>
        <w:tc>
          <w:tcPr>
            <w:tcW w:type="pct" w:w="37%"/>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Formalización legal en Barranquilla e inscripción</w:t>
            </w:r>
          </w:p>
        </w:tc>
      </w:tr>
      <w:tr>
        <w:tc>
          <w:tcPr>
            <w:tcW w:type="pct" w:w="45%"/>
            <w:tcBorders>
              <w:top w:val="single" w:color="CBD5E1" w:sz="4"/>
              <w:left w:val="single" w:color="CBD5E1" w:sz="4"/>
              <w:bottom w:val="single" w:color="CBD5E1" w:sz="4"/>
              <w:right w:val="single" w:color="CBD5E1" w:sz="4"/>
            </w:tcBorders>
            <w:shd w:fill="F8FAFC"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Inscripción Registro Único Tributario (RUT - DIAN)</w:t>
            </w:r>
          </w:p>
        </w:tc>
        <w:tc>
          <w:tcPr>
            <w:tcW w:type="pct" w:w="18%"/>
            <w:tcBorders>
              <w:top w:val="single" w:color="CBD5E1" w:sz="4"/>
              <w:left w:val="single" w:color="CBD5E1" w:sz="4"/>
              <w:bottom w:val="single" w:color="CBD5E1" w:sz="4"/>
              <w:right w:val="single" w:color="CBD5E1" w:sz="4"/>
            </w:tcBorders>
            <w:shd w:fill="F8FAFC"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$0</w:t>
            </w:r>
          </w:p>
        </w:tc>
        <w:tc>
          <w:tcPr>
            <w:tcW w:type="pct" w:w="37%"/>
            <w:tcBorders>
              <w:top w:val="single" w:color="CBD5E1" w:sz="4"/>
              <w:left w:val="single" w:color="CBD5E1" w:sz="4"/>
              <w:bottom w:val="single" w:color="CBD5E1" w:sz="4"/>
              <w:right w:val="single" w:color="CBD5E1" w:sz="4"/>
            </w:tcBorders>
            <w:shd w:fill="F8FAFC"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Trámite digital oficial sin costo</w:t>
            </w:r>
          </w:p>
        </w:tc>
      </w:tr>
      <w:tr>
        <w:tc>
          <w:tcPr>
            <w:tcW w:type="pct" w:w="45%"/>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Dominio Web (.co / .com.co) + Certificados SSL (1 Año)</w:t>
            </w:r>
          </w:p>
        </w:tc>
        <w:tc>
          <w:tcPr>
            <w:tcW w:type="pct" w:w="18%"/>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$332.000</w:t>
            </w:r>
          </w:p>
        </w:tc>
        <w:tc>
          <w:tcPr>
            <w:tcW w:type="pct" w:w="37%"/>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Infraestructura web principal y seguridad</w:t>
            </w:r>
          </w:p>
        </w:tc>
      </w:tr>
      <w:tr>
        <w:tc>
          <w:tcPr>
            <w:tcW w:type="pct" w:w="45%"/>
            <w:tcBorders>
              <w:top w:val="single" w:color="CBD5E1" w:sz="4"/>
              <w:left w:val="single" w:color="CBD5E1" w:sz="4"/>
              <w:bottom w:val="single" w:color="CBD5E1" w:sz="4"/>
              <w:right w:val="single" w:color="CBD5E1" w:sz="4"/>
            </w:tcBorders>
            <w:shd w:fill="F8FAFC"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Licenciamiento Base Base de Datos Supabase Pro (1 Año)</w:t>
            </w:r>
          </w:p>
        </w:tc>
        <w:tc>
          <w:tcPr>
            <w:tcW w:type="pct" w:w="18%"/>
            <w:tcBorders>
              <w:top w:val="single" w:color="CBD5E1" w:sz="4"/>
              <w:left w:val="single" w:color="CBD5E1" w:sz="4"/>
              <w:bottom w:val="single" w:color="CBD5E1" w:sz="4"/>
              <w:right w:val="single" w:color="CBD5E1" w:sz="4"/>
            </w:tcBorders>
            <w:shd w:fill="F8FAFC"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$950.000</w:t>
            </w:r>
          </w:p>
        </w:tc>
        <w:tc>
          <w:tcPr>
            <w:tcW w:type="pct" w:w="37%"/>
            <w:tcBorders>
              <w:top w:val="single" w:color="CBD5E1" w:sz="4"/>
              <w:left w:val="single" w:color="CBD5E1" w:sz="4"/>
              <w:bottom w:val="single" w:color="CBD5E1" w:sz="4"/>
              <w:right w:val="single" w:color="CBD5E1" w:sz="4"/>
            </w:tcBorders>
            <w:shd w:fill="F8FAFC"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Suscripción anual base de backend y base de datos</w:t>
            </w:r>
          </w:p>
        </w:tc>
      </w:tr>
      <w:tr>
        <w:tc>
          <w:tcPr>
            <w:tcW w:type="pct" w:w="45%"/>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Licenciamiento Base Despliegue Vercel Pro (1 Año)</w:t>
            </w:r>
          </w:p>
        </w:tc>
        <w:tc>
          <w:tcPr>
            <w:tcW w:type="pct" w:w="18%"/>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$680.000</w:t>
            </w:r>
          </w:p>
        </w:tc>
        <w:tc>
          <w:tcPr>
            <w:tcW w:type="pct" w:w="37%"/>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Infraestructura de frontend y serverless edge</w:t>
            </w:r>
          </w:p>
        </w:tc>
      </w:tr>
      <w:tr>
        <w:tc>
          <w:tcPr>
            <w:tcW w:type="pct" w:w="45%"/>
            <w:tcBorders>
              <w:top w:val="single" w:color="CBD5E1" w:sz="4"/>
              <w:left w:val="single" w:color="CBD5E1" w:sz="4"/>
              <w:bottom w:val="single" w:color="CBD5E1" w:sz="4"/>
              <w:right w:val="single" w:color="CBD5E1" w:sz="4"/>
            </w:tcBorders>
            <w:shd w:fill="F8FAFC"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Capacitaciones Técnicas y Normativa Tributaria (Actualícese)</w:t>
            </w:r>
          </w:p>
        </w:tc>
        <w:tc>
          <w:tcPr>
            <w:tcW w:type="pct" w:w="18%"/>
            <w:tcBorders>
              <w:top w:val="single" w:color="CBD5E1" w:sz="4"/>
              <w:left w:val="single" w:color="CBD5E1" w:sz="4"/>
              <w:bottom w:val="single" w:color="CBD5E1" w:sz="4"/>
              <w:right w:val="single" w:color="CBD5E1" w:sz="4"/>
            </w:tcBorders>
            <w:shd w:fill="F8FAFC"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$700.000</w:t>
            </w:r>
          </w:p>
        </w:tc>
        <w:tc>
          <w:tcPr>
            <w:tcW w:type="pct" w:w="37%"/>
            <w:tcBorders>
              <w:top w:val="single" w:color="CBD5E1" w:sz="4"/>
              <w:left w:val="single" w:color="CBD5E1" w:sz="4"/>
              <w:bottom w:val="single" w:color="CBD5E1" w:sz="4"/>
              <w:right w:val="single" w:color="CBD5E1" w:sz="4"/>
            </w:tcBorders>
            <w:shd w:fill="F8FAFC"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Entrenamiento en reformas tributarias DIAN 2025</w:t>
            </w:r>
          </w:p>
        </w:tc>
      </w:tr>
      <w:tr>
        <w:tc>
          <w:tcPr>
            <w:tcW w:type="pct" w:w="45%"/>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TOTAL ACTIVOS INTANGIBLES (Ver Inversion!B27)</w:t>
            </w:r>
          </w:p>
        </w:tc>
        <w:tc>
          <w:tcPr>
            <w:tcW w:type="pct" w:w="18%"/>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$3.012.000</w:t>
            </w:r>
          </w:p>
        </w:tc>
        <w:tc>
          <w:tcPr>
            <w:tcW w:type="pct" w:w="37%"/>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Amortización y formalización de arranque</w:t>
            </w:r>
          </w:p>
        </w:tc>
      </w:tr>
    </w:tbl>
    <w:p>
      <w:pPr>
        <w:pStyle w:val="Heading2"/>
        <w:spacing w:after="120" w:before="280"/>
      </w:pPr>
      <w:r>
        <w:rPr>
          <w:rFonts w:ascii="Calibri" w:cs="Calibri" w:eastAsia="Calibri" w:hAnsi="Calibri"/>
          <w:b/>
          <w:bCs/>
          <w:i w:val="false"/>
          <w:iCs w:val="false"/>
          <w:color w:val="0284C7"/>
          <w:sz w:val="24"/>
          <w:szCs w:val="24"/>
        </w:rPr>
        <w:t xml:space="preserve">4.3 DESCRIPCIÓN DE LOS COSTOS</w:t>
      </w:r>
    </w:p>
    <w:p>
      <w:pPr>
        <w:spacing w:after="120" w:before="80" w:line="276"/>
        <w:jc w:val="both"/>
      </w:pPr>
      <w:r>
        <w:rPr>
          <w:rFonts w:ascii="Calibri" w:cs="Calibri" w:eastAsia="Calibri" w:hAnsi="Calibri"/>
          <w:b w:val="false"/>
          <w:bCs w:val="false"/>
          <w:i w:val="false"/>
          <w:iCs w:val="false"/>
          <w:color w:val="0F172A"/>
          <w:sz w:val="22"/>
          <w:szCs w:val="22"/>
        </w:rPr>
        <w:t xml:space="preserve">Los costos del servicio se expresan en términos mensuales y anuales, desglosados en los tres elementos del costo según cotizaciones reales con proveedores:</w:t>
      </w:r>
    </w:p>
    <w:p>
      <w:pPr>
        <w:pStyle w:val="Heading3"/>
        <w:spacing w:after="80" w:before="200"/>
      </w:pPr>
      <w:r>
        <w:rPr>
          <w:rFonts w:ascii="Calibri" w:cs="Calibri" w:eastAsia="Calibri" w:hAnsi="Calibri"/>
          <w:b/>
          <w:bCs/>
          <w:i w:val="false"/>
          <w:iCs w:val="false"/>
          <w:color w:val="0F172A"/>
          <w:sz w:val="22"/>
          <w:szCs w:val="22"/>
        </w:rPr>
        <w:t xml:space="preserve">Materia prima (infraestructura tecnológica cloud — insumos del servicio)</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tblHeader/>
        </w:trPr>
        <w:tc>
          <w:tcPr>
            <w:tcW w:type="pct" w:w="32%"/>
            <w:tcBorders>
              <w:top w:val="single" w:color="CBD5E1" w:sz="4"/>
              <w:left w:val="single" w:color="CBD5E1" w:sz="4"/>
              <w:bottom w:val="single" w:color="CBD5E1" w:sz="4"/>
              <w:right w:val="single" w:color="CBD5E1" w:sz="4"/>
            </w:tcBorders>
            <w:shd w:fill="1E2A5A" w:val="clear"/>
            <w:tcMar>
              <w:top w:type="dxa" w:w="80"/>
              <w:left w:type="dxa" w:w="100"/>
              <w:bottom w:type="dxa" w:w="80"/>
              <w:right w:type="dxa" w:w="80"/>
            </w:tcMar>
            <w:vAlign w:val="center"/>
          </w:tcPr>
          <w:p>
            <w:pPr>
              <w:jc w:val="center"/>
            </w:pPr>
            <w:r>
              <w:rPr>
                <w:rFonts w:ascii="Calibri" w:cs="Calibri" w:eastAsia="Calibri" w:hAnsi="Calibri"/>
                <w:b/>
                <w:bCs/>
                <w:i w:val="false"/>
                <w:iCs w:val="false"/>
                <w:color w:val="FFFFFF"/>
                <w:sz w:val="20"/>
                <w:szCs w:val="20"/>
              </w:rPr>
              <w:t xml:space="preserve">Insumo / Servicio Cloud</w:t>
            </w:r>
          </w:p>
        </w:tc>
        <w:tc>
          <w:tcPr>
            <w:tcW w:type="pct" w:w="18%"/>
            <w:tcBorders>
              <w:top w:val="single" w:color="CBD5E1" w:sz="4"/>
              <w:left w:val="single" w:color="CBD5E1" w:sz="4"/>
              <w:bottom w:val="single" w:color="CBD5E1" w:sz="4"/>
              <w:right w:val="single" w:color="CBD5E1" w:sz="4"/>
            </w:tcBorders>
            <w:shd w:fill="1E2A5A" w:val="clear"/>
            <w:tcMar>
              <w:top w:type="dxa" w:w="80"/>
              <w:left w:type="dxa" w:w="100"/>
              <w:bottom w:type="dxa" w:w="80"/>
              <w:right w:type="dxa" w:w="80"/>
            </w:tcMar>
            <w:vAlign w:val="center"/>
          </w:tcPr>
          <w:p>
            <w:pPr>
              <w:jc w:val="center"/>
            </w:pPr>
            <w:r>
              <w:rPr>
                <w:rFonts w:ascii="Calibri" w:cs="Calibri" w:eastAsia="Calibri" w:hAnsi="Calibri"/>
                <w:b/>
                <w:bCs/>
                <w:i w:val="false"/>
                <w:iCs w:val="false"/>
                <w:color w:val="FFFFFF"/>
                <w:sz w:val="20"/>
                <w:szCs w:val="20"/>
              </w:rPr>
              <w:t xml:space="preserve">Proveedor</w:t>
            </w:r>
          </w:p>
        </w:tc>
        <w:tc>
          <w:tcPr>
            <w:tcW w:type="pct" w:w="20%"/>
            <w:tcBorders>
              <w:top w:val="single" w:color="CBD5E1" w:sz="4"/>
              <w:left w:val="single" w:color="CBD5E1" w:sz="4"/>
              <w:bottom w:val="single" w:color="CBD5E1" w:sz="4"/>
              <w:right w:val="single" w:color="CBD5E1" w:sz="4"/>
            </w:tcBorders>
            <w:shd w:fill="1E2A5A" w:val="clear"/>
            <w:tcMar>
              <w:top w:type="dxa" w:w="80"/>
              <w:left w:type="dxa" w:w="100"/>
              <w:bottom w:type="dxa" w:w="80"/>
              <w:right w:type="dxa" w:w="80"/>
            </w:tcMar>
            <w:vAlign w:val="center"/>
          </w:tcPr>
          <w:p>
            <w:pPr>
              <w:jc w:val="center"/>
            </w:pPr>
            <w:r>
              <w:rPr>
                <w:rFonts w:ascii="Calibri" w:cs="Calibri" w:eastAsia="Calibri" w:hAnsi="Calibri"/>
                <w:b/>
                <w:bCs/>
                <w:i w:val="false"/>
                <w:iCs w:val="false"/>
                <w:color w:val="FFFFFF"/>
                <w:sz w:val="20"/>
                <w:szCs w:val="20"/>
              </w:rPr>
              <w:t xml:space="preserve">Costo Mensual (COP)</w:t>
            </w:r>
          </w:p>
        </w:tc>
        <w:tc>
          <w:tcPr>
            <w:tcW w:type="pct" w:w="30%"/>
            <w:tcBorders>
              <w:top w:val="single" w:color="CBD5E1" w:sz="4"/>
              <w:left w:val="single" w:color="CBD5E1" w:sz="4"/>
              <w:bottom w:val="single" w:color="CBD5E1" w:sz="4"/>
              <w:right w:val="single" w:color="CBD5E1" w:sz="4"/>
            </w:tcBorders>
            <w:shd w:fill="1E2A5A" w:val="clear"/>
            <w:tcMar>
              <w:top w:type="dxa" w:w="80"/>
              <w:left w:type="dxa" w:w="100"/>
              <w:bottom w:type="dxa" w:w="80"/>
              <w:right w:type="dxa" w:w="80"/>
            </w:tcMar>
            <w:vAlign w:val="center"/>
          </w:tcPr>
          <w:p>
            <w:pPr>
              <w:jc w:val="center"/>
            </w:pPr>
            <w:r>
              <w:rPr>
                <w:rFonts w:ascii="Calibri" w:cs="Calibri" w:eastAsia="Calibri" w:hAnsi="Calibri"/>
                <w:b/>
                <w:bCs/>
                <w:i w:val="false"/>
                <w:iCs w:val="false"/>
                <w:color w:val="FFFFFF"/>
                <w:sz w:val="20"/>
                <w:szCs w:val="20"/>
              </w:rPr>
              <w:t xml:space="preserve">Función</w:t>
            </w:r>
          </w:p>
        </w:tc>
      </w:tr>
      <w:tr>
        <w:tc>
          <w:tcPr>
            <w:tcW w:type="pct" w:w="32%"/>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Base de datos PostgreSQL (Supabase Pro)</w:t>
            </w:r>
          </w:p>
        </w:tc>
        <w:tc>
          <w:tcPr>
            <w:tcW w:type="pct" w:w="18%"/>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Supabase Inc.</w:t>
            </w:r>
          </w:p>
        </w:tc>
        <w:tc>
          <w:tcPr>
            <w:tcW w:type="pct" w:w="20%"/>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$110.000</w:t>
            </w:r>
          </w:p>
        </w:tc>
        <w:tc>
          <w:tcPr>
            <w:tcW w:type="pct" w:w="30%"/>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Almacenamiento de NITs, calendarios y logs de alertas</w:t>
            </w:r>
          </w:p>
        </w:tc>
      </w:tr>
      <w:tr>
        <w:tc>
          <w:tcPr>
            <w:tcW w:type="pct" w:w="32%"/>
            <w:tcBorders>
              <w:top w:val="single" w:color="CBD5E1" w:sz="4"/>
              <w:left w:val="single" w:color="CBD5E1" w:sz="4"/>
              <w:bottom w:val="single" w:color="CBD5E1" w:sz="4"/>
              <w:right w:val="single" w:color="CBD5E1" w:sz="4"/>
            </w:tcBorders>
            <w:shd w:fill="F8FAFC"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Alojamiento web y CDN (Vercel Pro)</w:t>
            </w:r>
          </w:p>
        </w:tc>
        <w:tc>
          <w:tcPr>
            <w:tcW w:type="pct" w:w="18%"/>
            <w:tcBorders>
              <w:top w:val="single" w:color="CBD5E1" w:sz="4"/>
              <w:left w:val="single" w:color="CBD5E1" w:sz="4"/>
              <w:bottom w:val="single" w:color="CBD5E1" w:sz="4"/>
              <w:right w:val="single" w:color="CBD5E1" w:sz="4"/>
            </w:tcBorders>
            <w:shd w:fill="F8FAFC"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Vercel Inc.</w:t>
            </w:r>
          </w:p>
        </w:tc>
        <w:tc>
          <w:tcPr>
            <w:tcW w:type="pct" w:w="20%"/>
            <w:tcBorders>
              <w:top w:val="single" w:color="CBD5E1" w:sz="4"/>
              <w:left w:val="single" w:color="CBD5E1" w:sz="4"/>
              <w:bottom w:val="single" w:color="CBD5E1" w:sz="4"/>
              <w:right w:val="single" w:color="CBD5E1" w:sz="4"/>
            </w:tcBorders>
            <w:shd w:fill="F8FAFC"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$85.000</w:t>
            </w:r>
          </w:p>
        </w:tc>
        <w:tc>
          <w:tcPr>
            <w:tcW w:type="pct" w:w="30%"/>
            <w:tcBorders>
              <w:top w:val="single" w:color="CBD5E1" w:sz="4"/>
              <w:left w:val="single" w:color="CBD5E1" w:sz="4"/>
              <w:bottom w:val="single" w:color="CBD5E1" w:sz="4"/>
              <w:right w:val="single" w:color="CBD5E1" w:sz="4"/>
            </w:tcBorders>
            <w:shd w:fill="F8FAFC"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Disponibilidad 24/7, SSL, despliegue serverless</w:t>
            </w:r>
          </w:p>
        </w:tc>
      </w:tr>
      <w:tr>
        <w:tc>
          <w:tcPr>
            <w:tcW w:type="pct" w:w="32%"/>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Servicio de correo transaccional (Resend)</w:t>
            </w:r>
          </w:p>
        </w:tc>
        <w:tc>
          <w:tcPr>
            <w:tcW w:type="pct" w:w="18%"/>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Resend API</w:t>
            </w:r>
          </w:p>
        </w:tc>
        <w:tc>
          <w:tcPr>
            <w:tcW w:type="pct" w:w="20%"/>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$95.000</w:t>
            </w:r>
          </w:p>
        </w:tc>
        <w:tc>
          <w:tcPr>
            <w:tcW w:type="pct" w:w="30%"/>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Envío masivo de correos de alerta a suscriptores</w:t>
            </w:r>
          </w:p>
        </w:tc>
      </w:tr>
      <w:tr>
        <w:tc>
          <w:tcPr>
            <w:tcW w:type="pct" w:w="32%"/>
            <w:tcBorders>
              <w:top w:val="single" w:color="CBD5E1" w:sz="4"/>
              <w:left w:val="single" w:color="CBD5E1" w:sz="4"/>
              <w:bottom w:val="single" w:color="CBD5E1" w:sz="4"/>
              <w:right w:val="single" w:color="CBD5E1" w:sz="4"/>
            </w:tcBorders>
            <w:shd w:fill="F8FAFC"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Herramientas complementarias (APIs IA, OAuth, Monitoreo)</w:t>
            </w:r>
          </w:p>
        </w:tc>
        <w:tc>
          <w:tcPr>
            <w:tcW w:type="pct" w:w="18%"/>
            <w:tcBorders>
              <w:top w:val="single" w:color="CBD5E1" w:sz="4"/>
              <w:left w:val="single" w:color="CBD5E1" w:sz="4"/>
              <w:bottom w:val="single" w:color="CBD5E1" w:sz="4"/>
              <w:right w:val="single" w:color="CBD5E1" w:sz="4"/>
            </w:tcBorders>
            <w:shd w:fill="F8FAFC"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Varios</w:t>
            </w:r>
          </w:p>
        </w:tc>
        <w:tc>
          <w:tcPr>
            <w:tcW w:type="pct" w:w="20%"/>
            <w:tcBorders>
              <w:top w:val="single" w:color="CBD5E1" w:sz="4"/>
              <w:left w:val="single" w:color="CBD5E1" w:sz="4"/>
              <w:bottom w:val="single" w:color="CBD5E1" w:sz="4"/>
              <w:right w:val="single" w:color="CBD5E1" w:sz="4"/>
            </w:tcBorders>
            <w:shd w:fill="F8FAFC"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$248.128</w:t>
            </w:r>
          </w:p>
        </w:tc>
        <w:tc>
          <w:tcPr>
            <w:tcW w:type="pct" w:w="30%"/>
            <w:tcBorders>
              <w:top w:val="single" w:color="CBD5E1" w:sz="4"/>
              <w:left w:val="single" w:color="CBD5E1" w:sz="4"/>
              <w:bottom w:val="single" w:color="CBD5E1" w:sz="4"/>
              <w:right w:val="single" w:color="CBD5E1" w:sz="4"/>
            </w:tcBorders>
            <w:shd w:fill="F8FAFC"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Seguridad, autenticación y análisis IA</w:t>
            </w:r>
          </w:p>
        </w:tc>
      </w:tr>
      <w:tr>
        <w:tc>
          <w:tcPr>
            <w:tcW w:type="pct" w:w="32%"/>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TOTAL MATERIA PRIMA MENSUAL</w:t>
            </w:r>
          </w:p>
        </w:tc>
        <w:tc>
          <w:tcPr>
            <w:tcW w:type="pct" w:w="18%"/>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
            </w:r>
          </w:p>
        </w:tc>
        <w:tc>
          <w:tcPr>
            <w:tcW w:type="pct" w:w="20%"/>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$538.128</w:t>
            </w:r>
          </w:p>
        </w:tc>
        <w:tc>
          <w:tcPr>
            <w:tcW w:type="pct" w:w="30%"/>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
            </w:r>
          </w:p>
        </w:tc>
      </w:tr>
      <w:tr>
        <w:tc>
          <w:tcPr>
            <w:tcW w:type="pct" w:w="32%"/>
            <w:tcBorders>
              <w:top w:val="single" w:color="CBD5E1" w:sz="4"/>
              <w:left w:val="single" w:color="CBD5E1" w:sz="4"/>
              <w:bottom w:val="single" w:color="CBD5E1" w:sz="4"/>
              <w:right w:val="single" w:color="CBD5E1" w:sz="4"/>
            </w:tcBorders>
            <w:shd w:fill="F8FAFC"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TOTAL ANUAL AÑO 1 (Ver Costos!B5)</w:t>
            </w:r>
          </w:p>
        </w:tc>
        <w:tc>
          <w:tcPr>
            <w:tcW w:type="pct" w:w="18%"/>
            <w:tcBorders>
              <w:top w:val="single" w:color="CBD5E1" w:sz="4"/>
              <w:left w:val="single" w:color="CBD5E1" w:sz="4"/>
              <w:bottom w:val="single" w:color="CBD5E1" w:sz="4"/>
              <w:right w:val="single" w:color="CBD5E1" w:sz="4"/>
            </w:tcBorders>
            <w:shd w:fill="F8FAFC"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
            </w:r>
          </w:p>
        </w:tc>
        <w:tc>
          <w:tcPr>
            <w:tcW w:type="pct" w:w="20%"/>
            <w:tcBorders>
              <w:top w:val="single" w:color="CBD5E1" w:sz="4"/>
              <w:left w:val="single" w:color="CBD5E1" w:sz="4"/>
              <w:bottom w:val="single" w:color="CBD5E1" w:sz="4"/>
              <w:right w:val="single" w:color="CBD5E1" w:sz="4"/>
            </w:tcBorders>
            <w:shd w:fill="F8FAFC"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$6.457.534</w:t>
            </w:r>
          </w:p>
        </w:tc>
        <w:tc>
          <w:tcPr>
            <w:tcW w:type="pct" w:w="30%"/>
            <w:tcBorders>
              <w:top w:val="single" w:color="CBD5E1" w:sz="4"/>
              <w:left w:val="single" w:color="CBD5E1" w:sz="4"/>
              <w:bottom w:val="single" w:color="CBD5E1" w:sz="4"/>
              <w:right w:val="single" w:color="CBD5E1" w:sz="4"/>
            </w:tcBorders>
            <w:shd w:fill="F8FAFC"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Infraestructura cloud para 570 usuarios</w:t>
            </w:r>
          </w:p>
        </w:tc>
      </w:tr>
    </w:tbl>
    <w:p>
      <w:pPr>
        <w:pStyle w:val="Heading3"/>
        <w:spacing w:after="80" w:before="200"/>
      </w:pPr>
      <w:r>
        <w:rPr>
          <w:rFonts w:ascii="Calibri" w:cs="Calibri" w:eastAsia="Calibri" w:hAnsi="Calibri"/>
          <w:b/>
          <w:bCs/>
          <w:i w:val="false"/>
          <w:iCs w:val="false"/>
          <w:color w:val="0F172A"/>
          <w:sz w:val="22"/>
          <w:szCs w:val="22"/>
        </w:rPr>
        <w:t xml:space="preserve">Mano de obra directa (MOD)</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rPr>
          <w:tblHeader/>
        </w:trPr>
        <w:tc>
          <w:tcPr>
            <w:tcW w:type="pct" w:w="30%"/>
            <w:tcBorders>
              <w:top w:val="single" w:color="CBD5E1" w:sz="4"/>
              <w:left w:val="single" w:color="CBD5E1" w:sz="4"/>
              <w:bottom w:val="single" w:color="CBD5E1" w:sz="4"/>
              <w:right w:val="single" w:color="CBD5E1" w:sz="4"/>
            </w:tcBorders>
            <w:shd w:fill="1E2A5A" w:val="clear"/>
            <w:tcMar>
              <w:top w:type="dxa" w:w="80"/>
              <w:left w:type="dxa" w:w="100"/>
              <w:bottom w:type="dxa" w:w="80"/>
              <w:right w:type="dxa" w:w="80"/>
            </w:tcMar>
            <w:vAlign w:val="center"/>
          </w:tcPr>
          <w:p>
            <w:pPr>
              <w:jc w:val="center"/>
            </w:pPr>
            <w:r>
              <w:rPr>
                <w:rFonts w:ascii="Calibri" w:cs="Calibri" w:eastAsia="Calibri" w:hAnsi="Calibri"/>
                <w:b/>
                <w:bCs/>
                <w:i w:val="false"/>
                <w:iCs w:val="false"/>
                <w:color w:val="FFFFFF"/>
                <w:sz w:val="20"/>
                <w:szCs w:val="20"/>
              </w:rPr>
              <w:t xml:space="preserve">Cargo MOD</w:t>
            </w:r>
          </w:p>
        </w:tc>
        <w:tc>
          <w:tcPr>
            <w:tcW w:type="pct" w:w="10%"/>
            <w:tcBorders>
              <w:top w:val="single" w:color="CBD5E1" w:sz="4"/>
              <w:left w:val="single" w:color="CBD5E1" w:sz="4"/>
              <w:bottom w:val="single" w:color="CBD5E1" w:sz="4"/>
              <w:right w:val="single" w:color="CBD5E1" w:sz="4"/>
            </w:tcBorders>
            <w:shd w:fill="1E2A5A" w:val="clear"/>
            <w:tcMar>
              <w:top w:type="dxa" w:w="80"/>
              <w:left w:type="dxa" w:w="100"/>
              <w:bottom w:type="dxa" w:w="80"/>
              <w:right w:type="dxa" w:w="80"/>
            </w:tcMar>
            <w:vAlign w:val="center"/>
          </w:tcPr>
          <w:p>
            <w:pPr>
              <w:jc w:val="center"/>
            </w:pPr>
            <w:r>
              <w:rPr>
                <w:rFonts w:ascii="Calibri" w:cs="Calibri" w:eastAsia="Calibri" w:hAnsi="Calibri"/>
                <w:b/>
                <w:bCs/>
                <w:i w:val="false"/>
                <w:iCs w:val="false"/>
                <w:color w:val="FFFFFF"/>
                <w:sz w:val="20"/>
                <w:szCs w:val="20"/>
              </w:rPr>
              <w:t xml:space="preserve">Cantidad</w:t>
            </w:r>
          </w:p>
        </w:tc>
        <w:tc>
          <w:tcPr>
            <w:tcW w:type="pct" w:w="20%"/>
            <w:tcBorders>
              <w:top w:val="single" w:color="CBD5E1" w:sz="4"/>
              <w:left w:val="single" w:color="CBD5E1" w:sz="4"/>
              <w:bottom w:val="single" w:color="CBD5E1" w:sz="4"/>
              <w:right w:val="single" w:color="CBD5E1" w:sz="4"/>
            </w:tcBorders>
            <w:shd w:fill="1E2A5A" w:val="clear"/>
            <w:tcMar>
              <w:top w:type="dxa" w:w="80"/>
              <w:left w:type="dxa" w:w="100"/>
              <w:bottom w:type="dxa" w:w="80"/>
              <w:right w:type="dxa" w:w="80"/>
            </w:tcMar>
            <w:vAlign w:val="center"/>
          </w:tcPr>
          <w:p>
            <w:pPr>
              <w:jc w:val="center"/>
            </w:pPr>
            <w:r>
              <w:rPr>
                <w:rFonts w:ascii="Calibri" w:cs="Calibri" w:eastAsia="Calibri" w:hAnsi="Calibri"/>
                <w:b/>
                <w:bCs/>
                <w:i w:val="false"/>
                <w:iCs w:val="false"/>
                <w:color w:val="FFFFFF"/>
                <w:sz w:val="20"/>
                <w:szCs w:val="20"/>
              </w:rPr>
              <w:t xml:space="preserve">Salario Mensual (COP)</w:t>
            </w:r>
          </w:p>
        </w:tc>
        <w:tc>
          <w:tcPr>
            <w:tcW w:type="pct" w:w="20%"/>
            <w:tcBorders>
              <w:top w:val="single" w:color="CBD5E1" w:sz="4"/>
              <w:left w:val="single" w:color="CBD5E1" w:sz="4"/>
              <w:bottom w:val="single" w:color="CBD5E1" w:sz="4"/>
              <w:right w:val="single" w:color="CBD5E1" w:sz="4"/>
            </w:tcBorders>
            <w:shd w:fill="1E2A5A" w:val="clear"/>
            <w:tcMar>
              <w:top w:type="dxa" w:w="80"/>
              <w:left w:type="dxa" w:w="100"/>
              <w:bottom w:type="dxa" w:w="80"/>
              <w:right w:type="dxa" w:w="80"/>
            </w:tcMar>
            <w:vAlign w:val="center"/>
          </w:tcPr>
          <w:p>
            <w:pPr>
              <w:jc w:val="center"/>
            </w:pPr>
            <w:r>
              <w:rPr>
                <w:rFonts w:ascii="Calibri" w:cs="Calibri" w:eastAsia="Calibri" w:hAnsi="Calibri"/>
                <w:b/>
                <w:bCs/>
                <w:i w:val="false"/>
                <w:iCs w:val="false"/>
                <w:color w:val="FFFFFF"/>
                <w:sz w:val="20"/>
                <w:szCs w:val="20"/>
              </w:rPr>
              <w:t xml:space="preserve">Total Mensual (COP)</w:t>
            </w:r>
          </w:p>
        </w:tc>
        <w:tc>
          <w:tcPr>
            <w:tcW w:type="pct" w:w="20%"/>
            <w:tcBorders>
              <w:top w:val="single" w:color="CBD5E1" w:sz="4"/>
              <w:left w:val="single" w:color="CBD5E1" w:sz="4"/>
              <w:bottom w:val="single" w:color="CBD5E1" w:sz="4"/>
              <w:right w:val="single" w:color="CBD5E1" w:sz="4"/>
            </w:tcBorders>
            <w:shd w:fill="1E2A5A" w:val="clear"/>
            <w:tcMar>
              <w:top w:type="dxa" w:w="80"/>
              <w:left w:type="dxa" w:w="100"/>
              <w:bottom w:type="dxa" w:w="80"/>
              <w:right w:type="dxa" w:w="80"/>
            </w:tcMar>
            <w:vAlign w:val="center"/>
          </w:tcPr>
          <w:p>
            <w:pPr>
              <w:jc w:val="center"/>
            </w:pPr>
            <w:r>
              <w:rPr>
                <w:rFonts w:ascii="Calibri" w:cs="Calibri" w:eastAsia="Calibri" w:hAnsi="Calibri"/>
                <w:b/>
                <w:bCs/>
                <w:i w:val="false"/>
                <w:iCs w:val="false"/>
                <w:color w:val="FFFFFF"/>
                <w:sz w:val="20"/>
                <w:szCs w:val="20"/>
              </w:rPr>
              <w:t xml:space="preserve">Descripción del Rol</w:t>
            </w:r>
          </w:p>
        </w:tc>
      </w:tr>
      <w:tr>
        <w:tc>
          <w:tcPr>
            <w:tcW w:type="pct" w:w="30%"/>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Técnico de Soporte TI (Desarrollador)</w:t>
            </w:r>
          </w:p>
        </w:tc>
        <w:tc>
          <w:tcPr>
            <w:tcW w:type="pct" w:w="10%"/>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1</w:t>
            </w:r>
          </w:p>
        </w:tc>
        <w:tc>
          <w:tcPr>
            <w:tcW w:type="pct" w:w="20%"/>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$2.000.000</w:t>
            </w:r>
          </w:p>
        </w:tc>
        <w:tc>
          <w:tcPr>
            <w:tcW w:type="pct" w:w="20%"/>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$2.000.000</w:t>
            </w:r>
          </w:p>
        </w:tc>
        <w:tc>
          <w:tcPr>
            <w:tcW w:type="pct" w:w="20%"/>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Mantenimiento del código, resolución de fallas y soporte</w:t>
            </w:r>
          </w:p>
        </w:tc>
      </w:tr>
      <w:tr>
        <w:tc>
          <w:tcPr>
            <w:tcW w:type="pct" w:w="30%"/>
            <w:tcBorders>
              <w:top w:val="single" w:color="CBD5E1" w:sz="4"/>
              <w:left w:val="single" w:color="CBD5E1" w:sz="4"/>
              <w:bottom w:val="single" w:color="CBD5E1" w:sz="4"/>
              <w:right w:val="single" w:color="CBD5E1" w:sz="4"/>
            </w:tcBorders>
            <w:shd w:fill="F8FAFC"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TOTAL MOD MENSUAL</w:t>
            </w:r>
          </w:p>
        </w:tc>
        <w:tc>
          <w:tcPr>
            <w:tcW w:type="pct" w:w="10%"/>
            <w:tcBorders>
              <w:top w:val="single" w:color="CBD5E1" w:sz="4"/>
              <w:left w:val="single" w:color="CBD5E1" w:sz="4"/>
              <w:bottom w:val="single" w:color="CBD5E1" w:sz="4"/>
              <w:right w:val="single" w:color="CBD5E1" w:sz="4"/>
            </w:tcBorders>
            <w:shd w:fill="F8FAFC"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1</w:t>
            </w:r>
          </w:p>
        </w:tc>
        <w:tc>
          <w:tcPr>
            <w:tcW w:type="pct" w:w="20%"/>
            <w:tcBorders>
              <w:top w:val="single" w:color="CBD5E1" w:sz="4"/>
              <w:left w:val="single" w:color="CBD5E1" w:sz="4"/>
              <w:bottom w:val="single" w:color="CBD5E1" w:sz="4"/>
              <w:right w:val="single" w:color="CBD5E1" w:sz="4"/>
            </w:tcBorders>
            <w:shd w:fill="F8FAFC"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$2.000.000</w:t>
            </w:r>
          </w:p>
        </w:tc>
        <w:tc>
          <w:tcPr>
            <w:tcW w:type="pct" w:w="20%"/>
            <w:tcBorders>
              <w:top w:val="single" w:color="CBD5E1" w:sz="4"/>
              <w:left w:val="single" w:color="CBD5E1" w:sz="4"/>
              <w:bottom w:val="single" w:color="CBD5E1" w:sz="4"/>
              <w:right w:val="single" w:color="CBD5E1" w:sz="4"/>
            </w:tcBorders>
            <w:shd w:fill="F8FAFC"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$2.000.000</w:t>
            </w:r>
          </w:p>
        </w:tc>
        <w:tc>
          <w:tcPr>
            <w:tcW w:type="pct" w:w="20%"/>
            <w:tcBorders>
              <w:top w:val="single" w:color="CBD5E1" w:sz="4"/>
              <w:left w:val="single" w:color="CBD5E1" w:sz="4"/>
              <w:bottom w:val="single" w:color="CBD5E1" w:sz="4"/>
              <w:right w:val="single" w:color="CBD5E1" w:sz="4"/>
            </w:tcBorders>
            <w:shd w:fill="F8FAFC"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
            </w:r>
          </w:p>
        </w:tc>
      </w:tr>
      <w:tr>
        <w:tc>
          <w:tcPr>
            <w:tcW w:type="pct" w:w="30%"/>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TOTAL MOD ANUAL AÑO 1 (Ver Costos!B6)</w:t>
            </w:r>
          </w:p>
        </w:tc>
        <w:tc>
          <w:tcPr>
            <w:tcW w:type="pct" w:w="10%"/>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
            </w:r>
          </w:p>
        </w:tc>
        <w:tc>
          <w:tcPr>
            <w:tcW w:type="pct" w:w="20%"/>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
            </w:r>
          </w:p>
        </w:tc>
        <w:tc>
          <w:tcPr>
            <w:tcW w:type="pct" w:w="20%"/>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$24.000.000</w:t>
            </w:r>
          </w:p>
        </w:tc>
        <w:tc>
          <w:tcPr>
            <w:tcW w:type="pct" w:w="20%"/>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Contrato laboral vinculado a producción</w:t>
            </w:r>
          </w:p>
        </w:tc>
      </w:tr>
    </w:tbl>
    <w:p>
      <w:pPr>
        <w:pStyle w:val="Heading3"/>
        <w:spacing w:after="80" w:before="200"/>
      </w:pPr>
      <w:r>
        <w:rPr>
          <w:rFonts w:ascii="Calibri" w:cs="Calibri" w:eastAsia="Calibri" w:hAnsi="Calibri"/>
          <w:b/>
          <w:bCs/>
          <w:i w:val="false"/>
          <w:iCs w:val="false"/>
          <w:color w:val="0F172A"/>
          <w:sz w:val="22"/>
          <w:szCs w:val="22"/>
        </w:rPr>
        <w:t xml:space="preserve">Costos indirectos de fabricación (CIF)</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40%"/>
            <w:tcBorders>
              <w:top w:val="single" w:color="CBD5E1" w:sz="4"/>
              <w:left w:val="single" w:color="CBD5E1" w:sz="4"/>
              <w:bottom w:val="single" w:color="CBD5E1" w:sz="4"/>
              <w:right w:val="single" w:color="CBD5E1" w:sz="4"/>
            </w:tcBorders>
            <w:shd w:fill="1E2A5A" w:val="clear"/>
            <w:tcMar>
              <w:top w:type="dxa" w:w="80"/>
              <w:left w:type="dxa" w:w="100"/>
              <w:bottom w:type="dxa" w:w="80"/>
              <w:right w:type="dxa" w:w="80"/>
            </w:tcMar>
            <w:vAlign w:val="center"/>
          </w:tcPr>
          <w:p>
            <w:pPr>
              <w:jc w:val="center"/>
            </w:pPr>
            <w:r>
              <w:rPr>
                <w:rFonts w:ascii="Calibri" w:cs="Calibri" w:eastAsia="Calibri" w:hAnsi="Calibri"/>
                <w:b/>
                <w:bCs/>
                <w:i w:val="false"/>
                <w:iCs w:val="false"/>
                <w:color w:val="FFFFFF"/>
                <w:sz w:val="20"/>
                <w:szCs w:val="20"/>
              </w:rPr>
              <w:t xml:space="preserve">Concepto CIF</w:t>
            </w:r>
          </w:p>
        </w:tc>
        <w:tc>
          <w:tcPr>
            <w:tcW w:type="pct" w:w="25%"/>
            <w:tcBorders>
              <w:top w:val="single" w:color="CBD5E1" w:sz="4"/>
              <w:left w:val="single" w:color="CBD5E1" w:sz="4"/>
              <w:bottom w:val="single" w:color="CBD5E1" w:sz="4"/>
              <w:right w:val="single" w:color="CBD5E1" w:sz="4"/>
            </w:tcBorders>
            <w:shd w:fill="1E2A5A" w:val="clear"/>
            <w:tcMar>
              <w:top w:type="dxa" w:w="80"/>
              <w:left w:type="dxa" w:w="100"/>
              <w:bottom w:type="dxa" w:w="80"/>
              <w:right w:type="dxa" w:w="80"/>
            </w:tcMar>
            <w:vAlign w:val="center"/>
          </w:tcPr>
          <w:p>
            <w:pPr>
              <w:jc w:val="center"/>
            </w:pPr>
            <w:r>
              <w:rPr>
                <w:rFonts w:ascii="Calibri" w:cs="Calibri" w:eastAsia="Calibri" w:hAnsi="Calibri"/>
                <w:b/>
                <w:bCs/>
                <w:i w:val="false"/>
                <w:iCs w:val="false"/>
                <w:color w:val="FFFFFF"/>
                <w:sz w:val="20"/>
                <w:szCs w:val="20"/>
              </w:rPr>
              <w:t xml:space="preserve">Costo Mensual (COP)</w:t>
            </w:r>
          </w:p>
        </w:tc>
        <w:tc>
          <w:tcPr>
            <w:tcW w:type="pct" w:w="35%"/>
            <w:tcBorders>
              <w:top w:val="single" w:color="CBD5E1" w:sz="4"/>
              <w:left w:val="single" w:color="CBD5E1" w:sz="4"/>
              <w:bottom w:val="single" w:color="CBD5E1" w:sz="4"/>
              <w:right w:val="single" w:color="CBD5E1" w:sz="4"/>
            </w:tcBorders>
            <w:shd w:fill="1E2A5A" w:val="clear"/>
            <w:tcMar>
              <w:top w:type="dxa" w:w="80"/>
              <w:left w:type="dxa" w:w="100"/>
              <w:bottom w:type="dxa" w:w="80"/>
              <w:right w:type="dxa" w:w="80"/>
            </w:tcMar>
            <w:vAlign w:val="center"/>
          </w:tcPr>
          <w:p>
            <w:pPr>
              <w:jc w:val="center"/>
            </w:pPr>
            <w:r>
              <w:rPr>
                <w:rFonts w:ascii="Calibri" w:cs="Calibri" w:eastAsia="Calibri" w:hAnsi="Calibri"/>
                <w:b/>
                <w:bCs/>
                <w:i w:val="false"/>
                <w:iCs w:val="false"/>
                <w:color w:val="FFFFFF"/>
                <w:sz w:val="20"/>
                <w:szCs w:val="20"/>
              </w:rPr>
              <w:t xml:space="preserve">Descripción y Justificación</w:t>
            </w:r>
          </w:p>
        </w:tc>
      </w:tr>
      <w:tr>
        <w:tc>
          <w:tcPr>
            <w:tcW w:type="pct" w:w="40%"/>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Arriendo de espacio en coworking (4 puestos)</w:t>
            </w:r>
          </w:p>
        </w:tc>
        <w:tc>
          <w:tcPr>
            <w:tcW w:type="pct" w:w="25%"/>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$1.000.000</w:t>
            </w:r>
          </w:p>
        </w:tc>
        <w:tc>
          <w:tcPr>
            <w:tcW w:type="pct" w:w="35%"/>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Oficina compartida en Barranquilla con internet incluido</w:t>
            </w:r>
          </w:p>
        </w:tc>
      </w:tr>
      <w:tr>
        <w:tc>
          <w:tcPr>
            <w:tcW w:type="pct" w:w="40%"/>
            <w:tcBorders>
              <w:top w:val="single" w:color="CBD5E1" w:sz="4"/>
              <w:left w:val="single" w:color="CBD5E1" w:sz="4"/>
              <w:bottom w:val="single" w:color="CBD5E1" w:sz="4"/>
              <w:right w:val="single" w:color="CBD5E1" w:sz="4"/>
            </w:tcBorders>
            <w:shd w:fill="F8FAFC"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Servicios públicos adicionales (línea celular, internet backup)</w:t>
            </w:r>
          </w:p>
        </w:tc>
        <w:tc>
          <w:tcPr>
            <w:tcW w:type="pct" w:w="25%"/>
            <w:tcBorders>
              <w:top w:val="single" w:color="CBD5E1" w:sz="4"/>
              <w:left w:val="single" w:color="CBD5E1" w:sz="4"/>
              <w:bottom w:val="single" w:color="CBD5E1" w:sz="4"/>
              <w:right w:val="single" w:color="CBD5E1" w:sz="4"/>
            </w:tcBorders>
            <w:shd w:fill="F8FAFC"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$120.000</w:t>
            </w:r>
          </w:p>
        </w:tc>
        <w:tc>
          <w:tcPr>
            <w:tcW w:type="pct" w:w="35%"/>
            <w:tcBorders>
              <w:top w:val="single" w:color="CBD5E1" w:sz="4"/>
              <w:left w:val="single" w:color="CBD5E1" w:sz="4"/>
              <w:bottom w:val="single" w:color="CBD5E1" w:sz="4"/>
              <w:right w:val="single" w:color="CBD5E1" w:sz="4"/>
            </w:tcBorders>
            <w:shd w:fill="F8FAFC"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Línea telefónica empresa y respaldo de conectividad</w:t>
            </w:r>
          </w:p>
        </w:tc>
      </w:tr>
      <w:tr>
        <w:tc>
          <w:tcPr>
            <w:tcW w:type="pct" w:w="40%"/>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TOTAL CIF MENSUAL</w:t>
            </w:r>
          </w:p>
        </w:tc>
        <w:tc>
          <w:tcPr>
            <w:tcW w:type="pct" w:w="25%"/>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$1.120.000</w:t>
            </w:r>
          </w:p>
        </w:tc>
        <w:tc>
          <w:tcPr>
            <w:tcW w:type="pct" w:w="35%"/>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
            </w:r>
          </w:p>
        </w:tc>
      </w:tr>
      <w:tr>
        <w:tc>
          <w:tcPr>
            <w:tcW w:type="pct" w:w="40%"/>
            <w:tcBorders>
              <w:top w:val="single" w:color="CBD5E1" w:sz="4"/>
              <w:left w:val="single" w:color="CBD5E1" w:sz="4"/>
              <w:bottom w:val="single" w:color="CBD5E1" w:sz="4"/>
              <w:right w:val="single" w:color="CBD5E1" w:sz="4"/>
            </w:tcBorders>
            <w:shd w:fill="F8FAFC"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TOTAL CIF ANUAL AÑO 1 (Ver Costos!B7)</w:t>
            </w:r>
          </w:p>
        </w:tc>
        <w:tc>
          <w:tcPr>
            <w:tcW w:type="pct" w:w="25%"/>
            <w:tcBorders>
              <w:top w:val="single" w:color="CBD5E1" w:sz="4"/>
              <w:left w:val="single" w:color="CBD5E1" w:sz="4"/>
              <w:bottom w:val="single" w:color="CBD5E1" w:sz="4"/>
              <w:right w:val="single" w:color="CBD5E1" w:sz="4"/>
            </w:tcBorders>
            <w:shd w:fill="F8FAFC"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$13.440.000</w:t>
            </w:r>
          </w:p>
        </w:tc>
        <w:tc>
          <w:tcPr>
            <w:tcW w:type="pct" w:w="35%"/>
            <w:tcBorders>
              <w:top w:val="single" w:color="CBD5E1" w:sz="4"/>
              <w:left w:val="single" w:color="CBD5E1" w:sz="4"/>
              <w:bottom w:val="single" w:color="CBD5E1" w:sz="4"/>
              <w:right w:val="single" w:color="CBD5E1" w:sz="4"/>
            </w:tcBorders>
            <w:shd w:fill="F8FAFC"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Espacio físico y conectividad operativa</w:t>
            </w:r>
          </w:p>
        </w:tc>
      </w:tr>
    </w:tbl>
    <w:p>
      <w:pPr>
        <w:spacing w:after="60" w:before="6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none"/>
              <w:left w:val="single" w:color="0284C7" w:sz="20"/>
              <w:bottom w:val="none"/>
              <w:right w:val="none"/>
            </w:tcBorders>
            <w:shd w:fill="EFF6FF" w:val="clear"/>
            <w:tcMar>
              <w:top w:type="dxa" w:w="100"/>
              <w:left w:type="dxa" w:w="140"/>
              <w:bottom w:type="dxa" w:w="100"/>
              <w:right w:type="dxa" w:w="120"/>
            </w:tcMar>
          </w:tcPr>
          <w:p>
            <w:r>
              <w:rPr>
                <w:rFonts w:ascii="Calibri" w:cs="Calibri" w:eastAsia="Calibri" w:hAnsi="Calibri"/>
                <w:b w:val="false"/>
                <w:bCs w:val="false"/>
                <w:i/>
                <w:iCs/>
                <w:color w:val="1E3A5F"/>
                <w:sz w:val="20"/>
                <w:szCs w:val="20"/>
              </w:rPr>
              <w:t xml:space="preserve">Resumen Costos Año 1 (Validado en Excel): Materia Prima $6.457.534 + MOD $24.000.000 + CIF $13.440.000 = TOTAL $43.897.534</w:t>
            </w:r>
          </w:p>
        </w:tc>
      </w:tr>
    </w:tbl>
    <w:p>
      <w:pPr>
        <w:pStyle w:val="Heading1"/>
        <w:pBdr>
          <w:bottom w:val="single" w:color="0284C7" w:sz="12" w:space="4"/>
        </w:pBdr>
        <w:spacing w:after="160" w:before="400"/>
      </w:pPr>
      <w:r>
        <w:rPr>
          <w:rFonts w:ascii="Calibri" w:cs="Calibri" w:eastAsia="Calibri" w:hAnsi="Calibri"/>
          <w:b/>
          <w:bCs/>
          <w:i w:val="false"/>
          <w:iCs w:val="false"/>
          <w:color w:val="1E2A5A"/>
          <w:sz w:val="26"/>
          <w:szCs w:val="26"/>
        </w:rPr>
        <w:t xml:space="preserve">5. ASPECTOS ORGANIZACIONALES</w:t>
      </w:r>
    </w:p>
    <w:p>
      <w:pPr>
        <w:pStyle w:val="Heading2"/>
        <w:spacing w:after="120" w:before="280"/>
      </w:pPr>
      <w:r>
        <w:rPr>
          <w:rFonts w:ascii="Calibri" w:cs="Calibri" w:eastAsia="Calibri" w:hAnsi="Calibri"/>
          <w:b/>
          <w:bCs/>
          <w:i w:val="false"/>
          <w:iCs w:val="false"/>
          <w:color w:val="0284C7"/>
          <w:sz w:val="24"/>
          <w:szCs w:val="24"/>
        </w:rPr>
        <w:t xml:space="preserve">5.1 MISIÓN</w:t>
      </w:r>
    </w:p>
    <w:p>
      <w:pPr>
        <w:spacing w:after="120" w:before="80" w:line="276"/>
        <w:jc w:val="both"/>
      </w:pPr>
      <w:r>
        <w:rPr>
          <w:rFonts w:ascii="Calibri" w:cs="Calibri" w:eastAsia="Calibri" w:hAnsi="Calibri"/>
          <w:b w:val="false"/>
          <w:bCs w:val="false"/>
          <w:i w:val="false"/>
          <w:iCs w:val="false"/>
          <w:color w:val="0F172A"/>
          <w:sz w:val="22"/>
          <w:szCs w:val="22"/>
        </w:rPr>
        <w:t xml:space="preserve">Somos TributoApp S.A.S., una empresa con sede en Barranquilla, comprometida con acompañar a contribuyentes, independientes, empresas y contadores públicos en el cumplimiento puntual y organizado de sus obligaciones tributarias. A través de nuestra plataforma, combinamos automatización de alertas por último dígito de NIT y análisis de perfil fiscal para evitar sanciones por extemporaneidad.</w:t>
      </w:r>
    </w:p>
    <w:p>
      <w:pPr>
        <w:pStyle w:val="Heading2"/>
        <w:spacing w:after="120" w:before="280"/>
      </w:pPr>
      <w:r>
        <w:rPr>
          <w:rFonts w:ascii="Calibri" w:cs="Calibri" w:eastAsia="Calibri" w:hAnsi="Calibri"/>
          <w:b/>
          <w:bCs/>
          <w:i w:val="false"/>
          <w:iCs w:val="false"/>
          <w:color w:val="0284C7"/>
          <w:sz w:val="24"/>
          <w:szCs w:val="24"/>
        </w:rPr>
        <w:t xml:space="preserve">5.2 VISIÓN</w:t>
      </w:r>
    </w:p>
    <w:p>
      <w:pPr>
        <w:spacing w:after="120" w:before="80" w:line="276"/>
        <w:jc w:val="both"/>
      </w:pPr>
      <w:r>
        <w:rPr>
          <w:rFonts w:ascii="Calibri" w:cs="Calibri" w:eastAsia="Calibri" w:hAnsi="Calibri"/>
          <w:b w:val="false"/>
          <w:bCs w:val="false"/>
          <w:i w:val="false"/>
          <w:iCs w:val="false"/>
          <w:color w:val="0F172A"/>
          <w:sz w:val="22"/>
          <w:szCs w:val="22"/>
        </w:rPr>
        <w:t xml:space="preserve">Para el año 2040, ser la plataforma digital líder en gestión de calendario tributario y alertas de cumplimiento fiscal en la región Caribe y Colombia. Nos distinguiremos por la actualización constante frente a las reformas tributarias, la precisión en la información distrital y nacional, y una atención técnica de alta calidad.</w:t>
      </w:r>
    </w:p>
    <w:p>
      <w:pPr>
        <w:pStyle w:val="Heading2"/>
        <w:spacing w:after="120" w:before="280"/>
      </w:pPr>
      <w:r>
        <w:rPr>
          <w:rFonts w:ascii="Calibri" w:cs="Calibri" w:eastAsia="Calibri" w:hAnsi="Calibri"/>
          <w:b/>
          <w:bCs/>
          <w:i w:val="false"/>
          <w:iCs w:val="false"/>
          <w:color w:val="0284C7"/>
          <w:sz w:val="24"/>
          <w:szCs w:val="24"/>
        </w:rPr>
        <w:t xml:space="preserve">5.3 PRINCIPIOS Y VALORES ORGANIZACIONALES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28%"/>
            <w:tcBorders>
              <w:top w:val="single" w:color="CBD5E1" w:sz="4"/>
              <w:left w:val="single" w:color="CBD5E1" w:sz="4"/>
              <w:bottom w:val="single" w:color="CBD5E1" w:sz="4"/>
              <w:right w:val="single" w:color="CBD5E1" w:sz="4"/>
            </w:tcBorders>
            <w:shd w:fill="1E2A5A" w:val="clear"/>
            <w:tcMar>
              <w:top w:type="dxa" w:w="80"/>
              <w:left w:type="dxa" w:w="100"/>
              <w:bottom w:type="dxa" w:w="80"/>
              <w:right w:type="dxa" w:w="80"/>
            </w:tcMar>
            <w:vAlign w:val="center"/>
          </w:tcPr>
          <w:p>
            <w:pPr>
              <w:jc w:val="center"/>
            </w:pPr>
            <w:r>
              <w:rPr>
                <w:rFonts w:ascii="Calibri" w:cs="Calibri" w:eastAsia="Calibri" w:hAnsi="Calibri"/>
                <w:b/>
                <w:bCs/>
                <w:i w:val="false"/>
                <w:iCs w:val="false"/>
                <w:color w:val="FFFFFF"/>
                <w:sz w:val="20"/>
                <w:szCs w:val="20"/>
              </w:rPr>
              <w:t xml:space="preserve">Valor</w:t>
            </w:r>
          </w:p>
        </w:tc>
        <w:tc>
          <w:tcPr>
            <w:tcW w:type="pct" w:w="72%"/>
            <w:tcBorders>
              <w:top w:val="single" w:color="CBD5E1" w:sz="4"/>
              <w:left w:val="single" w:color="CBD5E1" w:sz="4"/>
              <w:bottom w:val="single" w:color="CBD5E1" w:sz="4"/>
              <w:right w:val="single" w:color="CBD5E1" w:sz="4"/>
            </w:tcBorders>
            <w:shd w:fill="1E2A5A" w:val="clear"/>
            <w:tcMar>
              <w:top w:type="dxa" w:w="80"/>
              <w:left w:type="dxa" w:w="100"/>
              <w:bottom w:type="dxa" w:w="80"/>
              <w:right w:type="dxa" w:w="80"/>
            </w:tcMar>
            <w:vAlign w:val="center"/>
          </w:tcPr>
          <w:p>
            <w:pPr>
              <w:jc w:val="center"/>
            </w:pPr>
            <w:r>
              <w:rPr>
                <w:rFonts w:ascii="Calibri" w:cs="Calibri" w:eastAsia="Calibri" w:hAnsi="Calibri"/>
                <w:b/>
                <w:bCs/>
                <w:i w:val="false"/>
                <w:iCs w:val="false"/>
                <w:color w:val="FFFFFF"/>
                <w:sz w:val="20"/>
                <w:szCs w:val="20"/>
              </w:rPr>
              <w:t xml:space="preserve">Descripción aplicada a TributoApp</w:t>
            </w:r>
          </w:p>
        </w:tc>
      </w:tr>
      <w:tr>
        <w:tc>
          <w:tcPr>
            <w:tcW w:type="pct" w:w="28%"/>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Precisión Normativa</w:t>
            </w:r>
          </w:p>
        </w:tc>
        <w:tc>
          <w:tcPr>
            <w:tcW w:type="pct" w:w="72%"/>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Cada fecha del calendario se verifica contra las fuentes oficiales de la DIAN. No publicamos información sin verificar.</w:t>
            </w:r>
          </w:p>
        </w:tc>
      </w:tr>
      <w:tr>
        <w:tc>
          <w:tcPr>
            <w:tcW w:type="pct" w:w="28%"/>
            <w:tcBorders>
              <w:top w:val="single" w:color="CBD5E1" w:sz="4"/>
              <w:left w:val="single" w:color="CBD5E1" w:sz="4"/>
              <w:bottom w:val="single" w:color="CBD5E1" w:sz="4"/>
              <w:right w:val="single" w:color="CBD5E1" w:sz="4"/>
            </w:tcBorders>
            <w:shd w:fill="F8FAFC"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Puntualidad Absoluta</w:t>
            </w:r>
          </w:p>
        </w:tc>
        <w:tc>
          <w:tcPr>
            <w:tcW w:type="pct" w:w="72%"/>
            <w:tcBorders>
              <w:top w:val="single" w:color="CBD5E1" w:sz="4"/>
              <w:left w:val="single" w:color="CBD5E1" w:sz="4"/>
              <w:bottom w:val="single" w:color="CBD5E1" w:sz="4"/>
              <w:right w:val="single" w:color="CBD5E1" w:sz="4"/>
            </w:tcBorders>
            <w:shd w:fill="F8FAFC"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Nuestros sistemas de alerta se ejecutan a las 3:00 AM Colombia sin excepción, todos los días del año.</w:t>
            </w:r>
          </w:p>
        </w:tc>
      </w:tr>
      <w:tr>
        <w:tc>
          <w:tcPr>
            <w:tcW w:type="pct" w:w="28%"/>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Seguridad y Confianza</w:t>
            </w:r>
          </w:p>
        </w:tc>
        <w:tc>
          <w:tcPr>
            <w:tcW w:type="pct" w:w="72%"/>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Los datos del NIT y correo de nuestros clientes se custodian con cifrado AES-256 y RLS en base de datos PostgreSQL.</w:t>
            </w:r>
          </w:p>
        </w:tc>
      </w:tr>
      <w:tr>
        <w:tc>
          <w:tcPr>
            <w:tcW w:type="pct" w:w="28%"/>
            <w:tcBorders>
              <w:top w:val="single" w:color="CBD5E1" w:sz="4"/>
              <w:left w:val="single" w:color="CBD5E1" w:sz="4"/>
              <w:bottom w:val="single" w:color="CBD5E1" w:sz="4"/>
              <w:right w:val="single" w:color="CBD5E1" w:sz="4"/>
            </w:tcBorders>
            <w:shd w:fill="F8FAFC"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Innovación Continua</w:t>
            </w:r>
          </w:p>
        </w:tc>
        <w:tc>
          <w:tcPr>
            <w:tcW w:type="pct" w:w="72%"/>
            <w:tcBorders>
              <w:top w:val="single" w:color="CBD5E1" w:sz="4"/>
              <w:left w:val="single" w:color="CBD5E1" w:sz="4"/>
              <w:bottom w:val="single" w:color="CBD5E1" w:sz="4"/>
              <w:right w:val="single" w:color="CBD5E1" w:sz="4"/>
            </w:tcBorders>
            <w:shd w:fill="F8FAFC"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Cada reforma tributaria que publica el gobierno se refleja en la plataforma en menos de 72 horas.</w:t>
            </w:r>
          </w:p>
        </w:tc>
      </w:tr>
      <w:tr>
        <w:tc>
          <w:tcPr>
            <w:tcW w:type="pct" w:w="28%"/>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Servicio al Cliente</w:t>
            </w:r>
          </w:p>
        </w:tc>
        <w:tc>
          <w:tcPr>
            <w:tcW w:type="pct" w:w="72%"/>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El contador no está solo: atención por WhatsApp de lunes a sábado de 8am a 6pm hora Colombia.</w:t>
            </w:r>
          </w:p>
        </w:tc>
      </w:tr>
      <w:tr>
        <w:tc>
          <w:tcPr>
            <w:tcW w:type="pct" w:w="28%"/>
            <w:tcBorders>
              <w:top w:val="single" w:color="CBD5E1" w:sz="4"/>
              <w:left w:val="single" w:color="CBD5E1" w:sz="4"/>
              <w:bottom w:val="single" w:color="CBD5E1" w:sz="4"/>
              <w:right w:val="single" w:color="CBD5E1" w:sz="4"/>
            </w:tcBorders>
            <w:shd w:fill="F8FAFC"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Ética Profesional</w:t>
            </w:r>
          </w:p>
        </w:tc>
        <w:tc>
          <w:tcPr>
            <w:tcW w:type="pct" w:w="72%"/>
            <w:tcBorders>
              <w:top w:val="single" w:color="CBD5E1" w:sz="4"/>
              <w:left w:val="single" w:color="CBD5E1" w:sz="4"/>
              <w:bottom w:val="single" w:color="CBD5E1" w:sz="4"/>
              <w:right w:val="single" w:color="CBD5E1" w:sz="4"/>
            </w:tcBorders>
            <w:shd w:fill="F8FAFC"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Nunca compartimos datos de nuestros clientes con terceros. El cumplimiento de la Ley 1581 es innegociable.</w:t>
            </w:r>
          </w:p>
        </w:tc>
      </w:tr>
    </w:tbl>
    <w:p>
      <w:pPr>
        <w:pStyle w:val="Heading2"/>
        <w:spacing w:after="120" w:before="280"/>
      </w:pPr>
      <w:r>
        <w:rPr>
          <w:rFonts w:ascii="Calibri" w:cs="Calibri" w:eastAsia="Calibri" w:hAnsi="Calibri"/>
          <w:b/>
          <w:bCs/>
          <w:i w:val="false"/>
          <w:iCs w:val="false"/>
          <w:color w:val="0284C7"/>
          <w:sz w:val="24"/>
          <w:szCs w:val="24"/>
        </w:rPr>
        <w:t xml:space="preserve">5.4 ESTRUCTURA ORGANIZACIONAL</w:t>
      </w:r>
    </w:p>
    <w:p>
      <w:pPr>
        <w:spacing w:after="120" w:before="80" w:line="276"/>
        <w:jc w:val="both"/>
      </w:pPr>
      <w:r>
        <w:rPr>
          <w:rFonts w:ascii="Calibri" w:cs="Calibri" w:eastAsia="Calibri" w:hAnsi="Calibri"/>
          <w:b w:val="false"/>
          <w:bCs w:val="false"/>
          <w:i w:val="false"/>
          <w:iCs w:val="false"/>
          <w:color w:val="0F172A"/>
          <w:sz w:val="22"/>
          <w:szCs w:val="22"/>
        </w:rPr>
        <w:t xml:space="preserve">El organigrama funcional de TributoApp S.A.S. está estructurado por áreas estratégicas, tácticas y operativas para garantizar eficiencia en la prestación del servicio digital:</w:t>
      </w:r>
    </w:p>
    <w:p>
      <w:pPr>
        <w:spacing w:after="20" w:before="60" w:line="276"/>
        <w:ind w:left="200"/>
        <w:jc w:val="both"/>
      </w:pPr>
      <w:r>
        <w:rPr>
          <w:rFonts w:ascii="Calibri" w:cs="Calibri" w:eastAsia="Calibri" w:hAnsi="Calibri"/>
          <w:b w:val="false"/>
          <w:bCs w:val="false"/>
          <w:i w:val="false"/>
          <w:iCs w:val="false"/>
          <w:color w:val="0F172A"/>
          <w:sz w:val="22"/>
          <w:szCs w:val="22"/>
        </w:rPr>
        <w:t xml:space="preserve">Junta de Socios / Asamblea de Accionistas (Nivel de Gobierno Corporativo)</w:t>
      </w:r>
    </w:p>
    <w:p>
      <w:pPr>
        <w:spacing w:after="20" w:before="20" w:line="276"/>
        <w:ind w:left="300"/>
        <w:jc w:val="both"/>
      </w:pPr>
      <w:r>
        <w:rPr>
          <w:rFonts w:ascii="Calibri" w:cs="Calibri" w:eastAsia="Calibri" w:hAnsi="Calibri"/>
          <w:b w:val="false"/>
          <w:bCs w:val="false"/>
          <w:i w:val="false"/>
          <w:iCs w:val="false"/>
          <w:color w:val="0F172A"/>
          <w:sz w:val="22"/>
          <w:szCs w:val="22"/>
        </w:rPr>
        <w:t xml:space="preserve">└── Gerente General / CEO (Nivel Estratégico — Dirección, Finanzas y Legal)</w:t>
      </w:r>
    </w:p>
    <w:p>
      <w:pPr>
        <w:spacing w:after="20" w:before="20" w:line="276"/>
        <w:ind w:left="500"/>
        <w:jc w:val="both"/>
      </w:pPr>
      <w:r>
        <w:rPr>
          <w:rFonts w:ascii="Calibri" w:cs="Calibri" w:eastAsia="Calibri" w:hAnsi="Calibri"/>
          <w:b w:val="false"/>
          <w:bCs w:val="false"/>
          <w:i w:val="false"/>
          <w:iCs w:val="false"/>
          <w:color w:val="0F172A"/>
          <w:sz w:val="22"/>
          <w:szCs w:val="22"/>
        </w:rPr>
        <w:t xml:space="preserve">     ├── Director de Tecnología / CTO (Nivel Táctico — Arquitectura Cloud, Datos e IA)</w:t>
      </w:r>
    </w:p>
    <w:p>
      <w:pPr>
        <w:spacing w:after="20" w:before="20" w:line="276"/>
        <w:ind w:left="700"/>
        <w:jc w:val="both"/>
      </w:pPr>
      <w:r>
        <w:rPr>
          <w:rFonts w:ascii="Calibri" w:cs="Calibri" w:eastAsia="Calibri" w:hAnsi="Calibri"/>
          <w:b w:val="false"/>
          <w:bCs w:val="false"/>
          <w:i w:val="false"/>
          <w:iCs w:val="false"/>
          <w:color w:val="0F172A"/>
          <w:sz w:val="22"/>
          <w:szCs w:val="22"/>
        </w:rPr>
        <w:t xml:space="preserve">     │    └── Desarrollador Full-Stack / Técnico de Soporte TI (Nivel Operativo — MOD)</w:t>
      </w:r>
    </w:p>
    <w:p>
      <w:pPr>
        <w:spacing w:after="120" w:before="20" w:line="276"/>
        <w:ind w:left="500"/>
        <w:jc w:val="both"/>
      </w:pPr>
      <w:r>
        <w:rPr>
          <w:rFonts w:ascii="Calibri" w:cs="Calibri" w:eastAsia="Calibri" w:hAnsi="Calibri"/>
          <w:b w:val="false"/>
          <w:bCs w:val="false"/>
          <w:i w:val="false"/>
          <w:iCs w:val="false"/>
          <w:color w:val="0F172A"/>
          <w:sz w:val="22"/>
          <w:szCs w:val="22"/>
        </w:rPr>
        <w:t xml:space="preserve">     └── Ejecutivo Comercial y Cuentas (Nivel Operativo — Ventas, Pauta y Conversión)</w:t>
      </w:r>
    </w:p>
    <w:p>
      <w:pPr>
        <w:pStyle w:val="Heading2"/>
        <w:spacing w:after="120" w:before="280"/>
      </w:pPr>
      <w:r>
        <w:rPr>
          <w:rFonts w:ascii="Calibri" w:cs="Calibri" w:eastAsia="Calibri" w:hAnsi="Calibri"/>
          <w:b/>
          <w:bCs/>
          <w:i w:val="false"/>
          <w:iCs w:val="false"/>
          <w:color w:val="0284C7"/>
          <w:sz w:val="24"/>
          <w:szCs w:val="24"/>
        </w:rPr>
        <w:t xml:space="preserve">5.5 CARGOS, ROLES Y PERFILES</w:t>
      </w:r>
    </w:p>
    <w:p>
      <w:pPr>
        <w:spacing w:after="120" w:before="80" w:line="276"/>
        <w:jc w:val="both"/>
      </w:pPr>
      <w:r>
        <w:rPr>
          <w:rFonts w:ascii="Calibri" w:cs="Calibri" w:eastAsia="Calibri" w:hAnsi="Calibri"/>
          <w:b w:val="false"/>
          <w:bCs w:val="false"/>
          <w:i w:val="false"/>
          <w:iCs w:val="false"/>
          <w:color w:val="0F172A"/>
          <w:sz w:val="22"/>
          <w:szCs w:val="22"/>
        </w:rPr>
        <w:t xml:space="preserve">La estructura de cargos y salarios responde estrictamente a la matriz de nómina validada en el modelo financiero (Hoja Nomina del Excel), con salarios competitivos para el sector tecnológico en Colombia:</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tblGrid>
      <w:tr>
        <w:trPr>
          <w:tblHeader/>
        </w:trPr>
        <w:tc>
          <w:tcPr>
            <w:tcW w:type="pct" w:w="18%"/>
            <w:tcBorders>
              <w:top w:val="single" w:color="CBD5E1" w:sz="4"/>
              <w:left w:val="single" w:color="CBD5E1" w:sz="4"/>
              <w:bottom w:val="single" w:color="CBD5E1" w:sz="4"/>
              <w:right w:val="single" w:color="CBD5E1" w:sz="4"/>
            </w:tcBorders>
            <w:shd w:fill="1E2A5A" w:val="clear"/>
            <w:tcMar>
              <w:top w:type="dxa" w:w="80"/>
              <w:left w:type="dxa" w:w="100"/>
              <w:bottom w:type="dxa" w:w="80"/>
              <w:right w:type="dxa" w:w="80"/>
            </w:tcMar>
            <w:vAlign w:val="center"/>
          </w:tcPr>
          <w:p>
            <w:pPr>
              <w:jc w:val="center"/>
            </w:pPr>
            <w:r>
              <w:rPr>
                <w:rFonts w:ascii="Calibri" w:cs="Calibri" w:eastAsia="Calibri" w:hAnsi="Calibri"/>
                <w:b/>
                <w:bCs/>
                <w:i w:val="false"/>
                <w:iCs w:val="false"/>
                <w:color w:val="FFFFFF"/>
                <w:sz w:val="20"/>
                <w:szCs w:val="20"/>
              </w:rPr>
              <w:t xml:space="preserve">Cargo</w:t>
            </w:r>
          </w:p>
        </w:tc>
        <w:tc>
          <w:tcPr>
            <w:tcW w:type="pct" w:w="14%"/>
            <w:tcBorders>
              <w:top w:val="single" w:color="CBD5E1" w:sz="4"/>
              <w:left w:val="single" w:color="CBD5E1" w:sz="4"/>
              <w:bottom w:val="single" w:color="CBD5E1" w:sz="4"/>
              <w:right w:val="single" w:color="CBD5E1" w:sz="4"/>
            </w:tcBorders>
            <w:shd w:fill="1E2A5A" w:val="clear"/>
            <w:tcMar>
              <w:top w:type="dxa" w:w="80"/>
              <w:left w:type="dxa" w:w="100"/>
              <w:bottom w:type="dxa" w:w="80"/>
              <w:right w:type="dxa" w:w="80"/>
            </w:tcMar>
            <w:vAlign w:val="center"/>
          </w:tcPr>
          <w:p>
            <w:pPr>
              <w:jc w:val="center"/>
            </w:pPr>
            <w:r>
              <w:rPr>
                <w:rFonts w:ascii="Calibri" w:cs="Calibri" w:eastAsia="Calibri" w:hAnsi="Calibri"/>
                <w:b/>
                <w:bCs/>
                <w:i w:val="false"/>
                <w:iCs w:val="false"/>
                <w:color w:val="FFFFFF"/>
                <w:sz w:val="20"/>
                <w:szCs w:val="20"/>
              </w:rPr>
              <w:t xml:space="preserve">Área / Nivel</w:t>
            </w:r>
          </w:p>
        </w:tc>
        <w:tc>
          <w:tcPr>
            <w:tcW w:type="pct" w:w="22%"/>
            <w:tcBorders>
              <w:top w:val="single" w:color="CBD5E1" w:sz="4"/>
              <w:left w:val="single" w:color="CBD5E1" w:sz="4"/>
              <w:bottom w:val="single" w:color="CBD5E1" w:sz="4"/>
              <w:right w:val="single" w:color="CBD5E1" w:sz="4"/>
            </w:tcBorders>
            <w:shd w:fill="1E2A5A" w:val="clear"/>
            <w:tcMar>
              <w:top w:type="dxa" w:w="80"/>
              <w:left w:type="dxa" w:w="100"/>
              <w:bottom w:type="dxa" w:w="80"/>
              <w:right w:type="dxa" w:w="80"/>
            </w:tcMar>
            <w:vAlign w:val="center"/>
          </w:tcPr>
          <w:p>
            <w:pPr>
              <w:jc w:val="center"/>
            </w:pPr>
            <w:r>
              <w:rPr>
                <w:rFonts w:ascii="Calibri" w:cs="Calibri" w:eastAsia="Calibri" w:hAnsi="Calibri"/>
                <w:b/>
                <w:bCs/>
                <w:i w:val="false"/>
                <w:iCs w:val="false"/>
                <w:color w:val="FFFFFF"/>
                <w:sz w:val="20"/>
                <w:szCs w:val="20"/>
              </w:rPr>
              <w:t xml:space="preserve">Perfil y Requisitos</w:t>
            </w:r>
          </w:p>
        </w:tc>
        <w:tc>
          <w:tcPr>
            <w:tcW w:type="pct" w:w="24%"/>
            <w:tcBorders>
              <w:top w:val="single" w:color="CBD5E1" w:sz="4"/>
              <w:left w:val="single" w:color="CBD5E1" w:sz="4"/>
              <w:bottom w:val="single" w:color="CBD5E1" w:sz="4"/>
              <w:right w:val="single" w:color="CBD5E1" w:sz="4"/>
            </w:tcBorders>
            <w:shd w:fill="1E2A5A" w:val="clear"/>
            <w:tcMar>
              <w:top w:type="dxa" w:w="80"/>
              <w:left w:type="dxa" w:w="100"/>
              <w:bottom w:type="dxa" w:w="80"/>
              <w:right w:type="dxa" w:w="80"/>
            </w:tcMar>
            <w:vAlign w:val="center"/>
          </w:tcPr>
          <w:p>
            <w:pPr>
              <w:jc w:val="center"/>
            </w:pPr>
            <w:r>
              <w:rPr>
                <w:rFonts w:ascii="Calibri" w:cs="Calibri" w:eastAsia="Calibri" w:hAnsi="Calibri"/>
                <w:b/>
                <w:bCs/>
                <w:i w:val="false"/>
                <w:iCs w:val="false"/>
                <w:color w:val="FFFFFF"/>
                <w:sz w:val="20"/>
                <w:szCs w:val="20"/>
              </w:rPr>
              <w:t xml:space="preserve">Rol y Funciones Principales</w:t>
            </w:r>
          </w:p>
        </w:tc>
        <w:tc>
          <w:tcPr>
            <w:tcW w:type="pct" w:w="11%"/>
            <w:tcBorders>
              <w:top w:val="single" w:color="CBD5E1" w:sz="4"/>
              <w:left w:val="single" w:color="CBD5E1" w:sz="4"/>
              <w:bottom w:val="single" w:color="CBD5E1" w:sz="4"/>
              <w:right w:val="single" w:color="CBD5E1" w:sz="4"/>
            </w:tcBorders>
            <w:shd w:fill="1E2A5A" w:val="clear"/>
            <w:tcMar>
              <w:top w:type="dxa" w:w="80"/>
              <w:left w:type="dxa" w:w="100"/>
              <w:bottom w:type="dxa" w:w="80"/>
              <w:right w:type="dxa" w:w="80"/>
            </w:tcMar>
            <w:vAlign w:val="center"/>
          </w:tcPr>
          <w:p>
            <w:pPr>
              <w:jc w:val="center"/>
            </w:pPr>
            <w:r>
              <w:rPr>
                <w:rFonts w:ascii="Calibri" w:cs="Calibri" w:eastAsia="Calibri" w:hAnsi="Calibri"/>
                <w:b/>
                <w:bCs/>
                <w:i w:val="false"/>
                <w:iCs w:val="false"/>
                <w:color w:val="FFFFFF"/>
                <w:sz w:val="20"/>
                <w:szCs w:val="20"/>
              </w:rPr>
              <w:t xml:space="preserve">Salario Mensual (COP)</w:t>
            </w:r>
          </w:p>
        </w:tc>
        <w:tc>
          <w:tcPr>
            <w:tcW w:type="pct" w:w="11%"/>
            <w:tcBorders>
              <w:top w:val="single" w:color="CBD5E1" w:sz="4"/>
              <w:left w:val="single" w:color="CBD5E1" w:sz="4"/>
              <w:bottom w:val="single" w:color="CBD5E1" w:sz="4"/>
              <w:right w:val="single" w:color="CBD5E1" w:sz="4"/>
            </w:tcBorders>
            <w:shd w:fill="1E2A5A" w:val="clear"/>
            <w:tcMar>
              <w:top w:type="dxa" w:w="80"/>
              <w:left w:type="dxa" w:w="100"/>
              <w:bottom w:type="dxa" w:w="80"/>
              <w:right w:type="dxa" w:w="80"/>
            </w:tcMar>
            <w:vAlign w:val="center"/>
          </w:tcPr>
          <w:p>
            <w:pPr>
              <w:jc w:val="center"/>
            </w:pPr>
            <w:r>
              <w:rPr>
                <w:rFonts w:ascii="Calibri" w:cs="Calibri" w:eastAsia="Calibri" w:hAnsi="Calibri"/>
                <w:b/>
                <w:bCs/>
                <w:i w:val="false"/>
                <w:iCs w:val="false"/>
                <w:color w:val="FFFFFF"/>
                <w:sz w:val="20"/>
                <w:szCs w:val="20"/>
              </w:rPr>
              <w:t xml:space="preserve">Salario Anual (COP)</w:t>
            </w:r>
          </w:p>
        </w:tc>
      </w:tr>
      <w:tr>
        <w:tc>
          <w:tcPr>
            <w:tcW w:type="pct" w:w="18%"/>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Gerente General / CEO</w:t>
            </w:r>
          </w:p>
        </w:tc>
        <w:tc>
          <w:tcPr>
            <w:tcW w:type="pct" w:w="14%"/>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Administración
(Estratégico)</w:t>
            </w:r>
          </w:p>
        </w:tc>
        <w:tc>
          <w:tcPr>
            <w:tcW w:type="pct" w:w="22%"/>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Profesional en Contaduría Pública, Administración o afines. Experiencia en liderazgo de proyectos, gestión financiera y representación legal.</w:t>
            </w:r>
          </w:p>
        </w:tc>
        <w:tc>
          <w:tcPr>
            <w:tcW w:type="pct" w:w="24%"/>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Dirección general, gestión de alianzas con gremios y universidades, control del flujo de caja, representación jurídica y cumplimiento societario.</w:t>
            </w:r>
          </w:p>
        </w:tc>
        <w:tc>
          <w:tcPr>
            <w:tcW w:type="pct" w:w="11%"/>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$4.500.000</w:t>
            </w:r>
          </w:p>
        </w:tc>
        <w:tc>
          <w:tcPr>
            <w:tcW w:type="pct" w:w="11%"/>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$54.000.000</w:t>
            </w:r>
          </w:p>
        </w:tc>
      </w:tr>
      <w:tr>
        <w:tc>
          <w:tcPr>
            <w:tcW w:type="pct" w:w="18%"/>
            <w:tcBorders>
              <w:top w:val="single" w:color="CBD5E1" w:sz="4"/>
              <w:left w:val="single" w:color="CBD5E1" w:sz="4"/>
              <w:bottom w:val="single" w:color="CBD5E1" w:sz="4"/>
              <w:right w:val="single" w:color="CBD5E1" w:sz="4"/>
            </w:tcBorders>
            <w:shd w:fill="F8FAFC"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Director de Tecnología / CTO</w:t>
            </w:r>
          </w:p>
        </w:tc>
        <w:tc>
          <w:tcPr>
            <w:tcW w:type="pct" w:w="14%"/>
            <w:tcBorders>
              <w:top w:val="single" w:color="CBD5E1" w:sz="4"/>
              <w:left w:val="single" w:color="CBD5E1" w:sz="4"/>
              <w:bottom w:val="single" w:color="CBD5E1" w:sz="4"/>
              <w:right w:val="single" w:color="CBD5E1" w:sz="4"/>
            </w:tcBorders>
            <w:shd w:fill="F8FAFC"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Tecnología
(Táctico)</w:t>
            </w:r>
          </w:p>
        </w:tc>
        <w:tc>
          <w:tcPr>
            <w:tcW w:type="pct" w:w="22%"/>
            <w:tcBorders>
              <w:top w:val="single" w:color="CBD5E1" w:sz="4"/>
              <w:left w:val="single" w:color="CBD5E1" w:sz="4"/>
              <w:bottom w:val="single" w:color="CBD5E1" w:sz="4"/>
              <w:right w:val="single" w:color="CBD5E1" w:sz="4"/>
            </w:tcBorders>
            <w:shd w:fill="F8FAFC"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Ingeniero de Sistemas o Desarrollador Senior con experiencia en Next.js, Node.js, PostgreSQL y arquitectura serverless en la nube.</w:t>
            </w:r>
          </w:p>
        </w:tc>
        <w:tc>
          <w:tcPr>
            <w:tcW w:type="pct" w:w="24%"/>
            <w:tcBorders>
              <w:top w:val="single" w:color="CBD5E1" w:sz="4"/>
              <w:left w:val="single" w:color="CBD5E1" w:sz="4"/>
              <w:bottom w:val="single" w:color="CBD5E1" w:sz="4"/>
              <w:right w:val="single" w:color="CBD5E1" w:sz="4"/>
            </w:tcBorders>
            <w:shd w:fill="F8FAFC"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Diseño y evolución de la arquitectura tecnológica, seguridad de datos (AES-256 / RLS), disponibilidad 24/7 y despliegue de actualizaciones.</w:t>
            </w:r>
          </w:p>
        </w:tc>
        <w:tc>
          <w:tcPr>
            <w:tcW w:type="pct" w:w="11%"/>
            <w:tcBorders>
              <w:top w:val="single" w:color="CBD5E1" w:sz="4"/>
              <w:left w:val="single" w:color="CBD5E1" w:sz="4"/>
              <w:bottom w:val="single" w:color="CBD5E1" w:sz="4"/>
              <w:right w:val="single" w:color="CBD5E1" w:sz="4"/>
            </w:tcBorders>
            <w:shd w:fill="F8FAFC"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$3.000.000</w:t>
            </w:r>
          </w:p>
        </w:tc>
        <w:tc>
          <w:tcPr>
            <w:tcW w:type="pct" w:w="11%"/>
            <w:tcBorders>
              <w:top w:val="single" w:color="CBD5E1" w:sz="4"/>
              <w:left w:val="single" w:color="CBD5E1" w:sz="4"/>
              <w:bottom w:val="single" w:color="CBD5E1" w:sz="4"/>
              <w:right w:val="single" w:color="CBD5E1" w:sz="4"/>
            </w:tcBorders>
            <w:shd w:fill="F8FAFC"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$36.000.000</w:t>
            </w:r>
          </w:p>
        </w:tc>
      </w:tr>
      <w:tr>
        <w:tc>
          <w:tcPr>
            <w:tcW w:type="pct" w:w="18%"/>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Técnico de Soporte TI (MOD)</w:t>
            </w:r>
          </w:p>
        </w:tc>
        <w:tc>
          <w:tcPr>
            <w:tcW w:type="pct" w:w="14%"/>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Producción / MOD
(Operativo)</w:t>
            </w:r>
          </w:p>
        </w:tc>
        <w:tc>
          <w:tcPr>
            <w:tcW w:type="pct" w:w="22%"/>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Tecnólogo o Profesional en Sistemas / Programación web con dominio de bases de datos y herramientas de testing.</w:t>
            </w:r>
          </w:p>
        </w:tc>
        <w:tc>
          <w:tcPr>
            <w:tcW w:type="pct" w:w="24%"/>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Mantenimiento del código fuente, resolución de fallas técnicas, validación del motor de alertas automáticas y soporte técnico nivel 2.</w:t>
            </w:r>
          </w:p>
        </w:tc>
        <w:tc>
          <w:tcPr>
            <w:tcW w:type="pct" w:w="11%"/>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$2.000.000</w:t>
            </w:r>
          </w:p>
        </w:tc>
        <w:tc>
          <w:tcPr>
            <w:tcW w:type="pct" w:w="11%"/>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$24.000.000</w:t>
            </w:r>
          </w:p>
        </w:tc>
      </w:tr>
      <w:tr>
        <w:tc>
          <w:tcPr>
            <w:tcW w:type="pct" w:w="18%"/>
            <w:tcBorders>
              <w:top w:val="single" w:color="CBD5E1" w:sz="4"/>
              <w:left w:val="single" w:color="CBD5E1" w:sz="4"/>
              <w:bottom w:val="single" w:color="CBD5E1" w:sz="4"/>
              <w:right w:val="single" w:color="CBD5E1" w:sz="4"/>
            </w:tcBorders>
            <w:shd w:fill="F8FAFC"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Ejecutivo Comercial y Cuentas</w:t>
            </w:r>
          </w:p>
        </w:tc>
        <w:tc>
          <w:tcPr>
            <w:tcW w:type="pct" w:w="14%"/>
            <w:tcBorders>
              <w:top w:val="single" w:color="CBD5E1" w:sz="4"/>
              <w:left w:val="single" w:color="CBD5E1" w:sz="4"/>
              <w:bottom w:val="single" w:color="CBD5E1" w:sz="4"/>
              <w:right w:val="single" w:color="CBD5E1" w:sz="4"/>
            </w:tcBorders>
            <w:shd w:fill="F8FAFC"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Ventas y Mercadeo
(Operativo)</w:t>
            </w:r>
          </w:p>
        </w:tc>
        <w:tc>
          <w:tcPr>
            <w:tcW w:type="pct" w:w="22%"/>
            <w:tcBorders>
              <w:top w:val="single" w:color="CBD5E1" w:sz="4"/>
              <w:left w:val="single" w:color="CBD5E1" w:sz="4"/>
              <w:bottom w:val="single" w:color="CBD5E1" w:sz="4"/>
              <w:right w:val="single" w:color="CBD5E1" w:sz="4"/>
            </w:tcBorders>
            <w:shd w:fill="F8FAFC"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Técnico o Profesional en Mercadeo, Ventas o Comunicación. Experiencia en ventas B2B digitales y manejo de CRM.</w:t>
            </w:r>
          </w:p>
        </w:tc>
        <w:tc>
          <w:tcPr>
            <w:tcW w:type="pct" w:w="24%"/>
            <w:tcBorders>
              <w:top w:val="single" w:color="CBD5E1" w:sz="4"/>
              <w:left w:val="single" w:color="CBD5E1" w:sz="4"/>
              <w:bottom w:val="single" w:color="CBD5E1" w:sz="4"/>
              <w:right w:val="single" w:color="CBD5E1" w:sz="4"/>
            </w:tcBorders>
            <w:shd w:fill="F8FAFC"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Prospección de contadores y firmas contables, demostraciones personalizadas, administración de campañas publicitarias y fidelización de clientes.</w:t>
            </w:r>
          </w:p>
        </w:tc>
        <w:tc>
          <w:tcPr>
            <w:tcW w:type="pct" w:w="11%"/>
            <w:tcBorders>
              <w:top w:val="single" w:color="CBD5E1" w:sz="4"/>
              <w:left w:val="single" w:color="CBD5E1" w:sz="4"/>
              <w:bottom w:val="single" w:color="CBD5E1" w:sz="4"/>
              <w:right w:val="single" w:color="CBD5E1" w:sz="4"/>
            </w:tcBorders>
            <w:shd w:fill="F8FAFC"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$1.750.000</w:t>
            </w:r>
          </w:p>
        </w:tc>
        <w:tc>
          <w:tcPr>
            <w:tcW w:type="pct" w:w="11%"/>
            <w:tcBorders>
              <w:top w:val="single" w:color="CBD5E1" w:sz="4"/>
              <w:left w:val="single" w:color="CBD5E1" w:sz="4"/>
              <w:bottom w:val="single" w:color="CBD5E1" w:sz="4"/>
              <w:right w:val="single" w:color="CBD5E1" w:sz="4"/>
            </w:tcBorders>
            <w:shd w:fill="F8FAFC"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$21.000.000</w:t>
            </w:r>
          </w:p>
        </w:tc>
      </w:tr>
      <w:tr>
        <w:tc>
          <w:tcPr>
            <w:tcW w:type="pct" w:w="18%"/>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TOTAL NÓMINA AÑO 1</w:t>
            </w:r>
          </w:p>
        </w:tc>
        <w:tc>
          <w:tcPr>
            <w:tcW w:type="pct" w:w="14%"/>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4 Cargos Directos</w:t>
            </w:r>
          </w:p>
        </w:tc>
        <w:tc>
          <w:tcPr>
            <w:tcW w:type="pct" w:w="22%"/>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Estructura operativa completa</w:t>
            </w:r>
          </w:p>
        </w:tc>
        <w:tc>
          <w:tcPr>
            <w:tcW w:type="pct" w:w="24%"/>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Operación del servicio digital</w:t>
            </w:r>
          </w:p>
        </w:tc>
        <w:tc>
          <w:tcPr>
            <w:tcW w:type="pct" w:w="11%"/>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$11.250.000</w:t>
            </w:r>
          </w:p>
        </w:tc>
        <w:tc>
          <w:tcPr>
            <w:tcW w:type="pct" w:w="11%"/>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$135.000.000</w:t>
            </w:r>
          </w:p>
        </w:tc>
      </w:tr>
    </w:tbl>
    <w:p>
      <w:pPr>
        <w:spacing w:after="60" w:before="60"/>
      </w:pPr>
    </w:p>
    <w:p>
      <w:pPr>
        <w:pStyle w:val="Heading3"/>
        <w:spacing w:after="80" w:before="200"/>
      </w:pPr>
      <w:r>
        <w:rPr>
          <w:rFonts w:ascii="Calibri" w:cs="Calibri" w:eastAsia="Calibri" w:hAnsi="Calibri"/>
          <w:b/>
          <w:bCs/>
          <w:i w:val="false"/>
          <w:iCs w:val="false"/>
          <w:color w:val="0F172A"/>
          <w:sz w:val="22"/>
          <w:szCs w:val="22"/>
        </w:rPr>
        <w:t xml:space="preserve">Proyección del Equipo Humano a 5 Años</w:t>
      </w:r>
    </w:p>
    <w:p>
      <w:pPr>
        <w:spacing w:after="120" w:before="80" w:line="276"/>
        <w:jc w:val="both"/>
      </w:pPr>
      <w:r>
        <w:rPr>
          <w:rFonts w:ascii="Calibri" w:cs="Calibri" w:eastAsia="Calibri" w:hAnsi="Calibri"/>
          <w:b w:val="false"/>
          <w:bCs w:val="false"/>
          <w:i w:val="false"/>
          <w:iCs w:val="false"/>
          <w:color w:val="0F172A"/>
          <w:sz w:val="22"/>
          <w:szCs w:val="22"/>
        </w:rPr>
        <w:t xml:space="preserve">Para soportar el crecimiento de usuarios (570 en Año 1 hasta 2.000 en Año 5), el equipo de talento humano evoluciona coordinadamente según la proyección de la hoja Gastos y Nomina del Excel:</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tblGrid>
      <w:tr>
        <w:trPr>
          <w:tblHeader/>
        </w:trPr>
        <w:tc>
          <w:tcPr>
            <w:tcW w:type="pct" w:w="28%"/>
            <w:tcBorders>
              <w:top w:val="single" w:color="CBD5E1" w:sz="4"/>
              <w:left w:val="single" w:color="CBD5E1" w:sz="4"/>
              <w:bottom w:val="single" w:color="CBD5E1" w:sz="4"/>
              <w:right w:val="single" w:color="CBD5E1" w:sz="4"/>
            </w:tcBorders>
            <w:shd w:fill="1E2A5A" w:val="clear"/>
            <w:tcMar>
              <w:top w:type="dxa" w:w="80"/>
              <w:left w:type="dxa" w:w="100"/>
              <w:bottom w:type="dxa" w:w="80"/>
              <w:right w:type="dxa" w:w="80"/>
            </w:tcMar>
            <w:vAlign w:val="center"/>
          </w:tcPr>
          <w:p>
            <w:pPr>
              <w:jc w:val="center"/>
            </w:pPr>
            <w:r>
              <w:rPr>
                <w:rFonts w:ascii="Calibri" w:cs="Calibri" w:eastAsia="Calibri" w:hAnsi="Calibri"/>
                <w:b/>
                <w:bCs/>
                <w:i w:val="false"/>
                <w:iCs w:val="false"/>
                <w:color w:val="FFFFFF"/>
                <w:sz w:val="20"/>
                <w:szCs w:val="20"/>
              </w:rPr>
              <w:t xml:space="preserve">Área Organizacional</w:t>
            </w:r>
          </w:p>
        </w:tc>
        <w:tc>
          <w:tcPr>
            <w:tcW w:type="pct" w:w="14%"/>
            <w:tcBorders>
              <w:top w:val="single" w:color="CBD5E1" w:sz="4"/>
              <w:left w:val="single" w:color="CBD5E1" w:sz="4"/>
              <w:bottom w:val="single" w:color="CBD5E1" w:sz="4"/>
              <w:right w:val="single" w:color="CBD5E1" w:sz="4"/>
            </w:tcBorders>
            <w:shd w:fill="1E2A5A" w:val="clear"/>
            <w:tcMar>
              <w:top w:type="dxa" w:w="80"/>
              <w:left w:type="dxa" w:w="100"/>
              <w:bottom w:type="dxa" w:w="80"/>
              <w:right w:type="dxa" w:w="80"/>
            </w:tcMar>
            <w:vAlign w:val="center"/>
          </w:tcPr>
          <w:p>
            <w:pPr>
              <w:jc w:val="center"/>
            </w:pPr>
            <w:r>
              <w:rPr>
                <w:rFonts w:ascii="Calibri" w:cs="Calibri" w:eastAsia="Calibri" w:hAnsi="Calibri"/>
                <w:b/>
                <w:bCs/>
                <w:i w:val="false"/>
                <w:iCs w:val="false"/>
                <w:color w:val="FFFFFF"/>
                <w:sz w:val="20"/>
                <w:szCs w:val="20"/>
              </w:rPr>
              <w:t xml:space="preserve">Año 1 (4 pers.)</w:t>
            </w:r>
          </w:p>
        </w:tc>
        <w:tc>
          <w:tcPr>
            <w:tcW w:type="pct" w:w="14%"/>
            <w:tcBorders>
              <w:top w:val="single" w:color="CBD5E1" w:sz="4"/>
              <w:left w:val="single" w:color="CBD5E1" w:sz="4"/>
              <w:bottom w:val="single" w:color="CBD5E1" w:sz="4"/>
              <w:right w:val="single" w:color="CBD5E1" w:sz="4"/>
            </w:tcBorders>
            <w:shd w:fill="1E2A5A" w:val="clear"/>
            <w:tcMar>
              <w:top w:type="dxa" w:w="80"/>
              <w:left w:type="dxa" w:w="100"/>
              <w:bottom w:type="dxa" w:w="80"/>
              <w:right w:type="dxa" w:w="80"/>
            </w:tcMar>
            <w:vAlign w:val="center"/>
          </w:tcPr>
          <w:p>
            <w:pPr>
              <w:jc w:val="center"/>
            </w:pPr>
            <w:r>
              <w:rPr>
                <w:rFonts w:ascii="Calibri" w:cs="Calibri" w:eastAsia="Calibri" w:hAnsi="Calibri"/>
                <w:b/>
                <w:bCs/>
                <w:i w:val="false"/>
                <w:iCs w:val="false"/>
                <w:color w:val="FFFFFF"/>
                <w:sz w:val="20"/>
                <w:szCs w:val="20"/>
              </w:rPr>
              <w:t xml:space="preserve">Año 2 (4 pers.)</w:t>
            </w:r>
          </w:p>
        </w:tc>
        <w:tc>
          <w:tcPr>
            <w:tcW w:type="pct" w:w="15%"/>
            <w:tcBorders>
              <w:top w:val="single" w:color="CBD5E1" w:sz="4"/>
              <w:left w:val="single" w:color="CBD5E1" w:sz="4"/>
              <w:bottom w:val="single" w:color="CBD5E1" w:sz="4"/>
              <w:right w:val="single" w:color="CBD5E1" w:sz="4"/>
            </w:tcBorders>
            <w:shd w:fill="1E2A5A" w:val="clear"/>
            <w:tcMar>
              <w:top w:type="dxa" w:w="80"/>
              <w:left w:type="dxa" w:w="100"/>
              <w:bottom w:type="dxa" w:w="80"/>
              <w:right w:type="dxa" w:w="80"/>
            </w:tcMar>
            <w:vAlign w:val="center"/>
          </w:tcPr>
          <w:p>
            <w:pPr>
              <w:jc w:val="center"/>
            </w:pPr>
            <w:r>
              <w:rPr>
                <w:rFonts w:ascii="Calibri" w:cs="Calibri" w:eastAsia="Calibri" w:hAnsi="Calibri"/>
                <w:b/>
                <w:bCs/>
                <w:i w:val="false"/>
                <w:iCs w:val="false"/>
                <w:color w:val="FFFFFF"/>
                <w:sz w:val="20"/>
                <w:szCs w:val="20"/>
              </w:rPr>
              <w:t xml:space="preserve">Año 3 (6 pers.)</w:t>
            </w:r>
          </w:p>
        </w:tc>
        <w:tc>
          <w:tcPr>
            <w:tcW w:type="pct" w:w="15%"/>
            <w:tcBorders>
              <w:top w:val="single" w:color="CBD5E1" w:sz="4"/>
              <w:left w:val="single" w:color="CBD5E1" w:sz="4"/>
              <w:bottom w:val="single" w:color="CBD5E1" w:sz="4"/>
              <w:right w:val="single" w:color="CBD5E1" w:sz="4"/>
            </w:tcBorders>
            <w:shd w:fill="1E2A5A" w:val="clear"/>
            <w:tcMar>
              <w:top w:type="dxa" w:w="80"/>
              <w:left w:type="dxa" w:w="100"/>
              <w:bottom w:type="dxa" w:w="80"/>
              <w:right w:type="dxa" w:w="80"/>
            </w:tcMar>
            <w:vAlign w:val="center"/>
          </w:tcPr>
          <w:p>
            <w:pPr>
              <w:jc w:val="center"/>
            </w:pPr>
            <w:r>
              <w:rPr>
                <w:rFonts w:ascii="Calibri" w:cs="Calibri" w:eastAsia="Calibri" w:hAnsi="Calibri"/>
                <w:b/>
                <w:bCs/>
                <w:i w:val="false"/>
                <w:iCs w:val="false"/>
                <w:color w:val="FFFFFF"/>
                <w:sz w:val="20"/>
                <w:szCs w:val="20"/>
              </w:rPr>
              <w:t xml:space="preserve">Año 4 (8 pers.)</w:t>
            </w:r>
          </w:p>
        </w:tc>
        <w:tc>
          <w:tcPr>
            <w:tcW w:type="pct" w:w="14%"/>
            <w:tcBorders>
              <w:top w:val="single" w:color="CBD5E1" w:sz="4"/>
              <w:left w:val="single" w:color="CBD5E1" w:sz="4"/>
              <w:bottom w:val="single" w:color="CBD5E1" w:sz="4"/>
              <w:right w:val="single" w:color="CBD5E1" w:sz="4"/>
            </w:tcBorders>
            <w:shd w:fill="1E2A5A" w:val="clear"/>
            <w:tcMar>
              <w:top w:type="dxa" w:w="80"/>
              <w:left w:type="dxa" w:w="100"/>
              <w:bottom w:type="dxa" w:w="80"/>
              <w:right w:type="dxa" w:w="80"/>
            </w:tcMar>
            <w:vAlign w:val="center"/>
          </w:tcPr>
          <w:p>
            <w:pPr>
              <w:jc w:val="center"/>
            </w:pPr>
            <w:r>
              <w:rPr>
                <w:rFonts w:ascii="Calibri" w:cs="Calibri" w:eastAsia="Calibri" w:hAnsi="Calibri"/>
                <w:b/>
                <w:bCs/>
                <w:i w:val="false"/>
                <w:iCs w:val="false"/>
                <w:color w:val="FFFFFF"/>
                <w:sz w:val="20"/>
                <w:szCs w:val="20"/>
              </w:rPr>
              <w:t xml:space="preserve">Año 5 (10 pers.)</w:t>
            </w:r>
          </w:p>
        </w:tc>
      </w:tr>
      <w:tr>
        <w:tc>
          <w:tcPr>
            <w:tcW w:type="pct" w:w="28%"/>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Administración y Dirección (Gerencia + Finanzas)</w:t>
            </w:r>
          </w:p>
        </w:tc>
        <w:tc>
          <w:tcPr>
            <w:tcW w:type="pct" w:w="14%"/>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2 personas ($90.0M)</w:t>
            </w:r>
          </w:p>
        </w:tc>
        <w:tc>
          <w:tcPr>
            <w:tcW w:type="pct" w:w="14%"/>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2 personas ($95.4M)</w:t>
            </w:r>
          </w:p>
        </w:tc>
        <w:tc>
          <w:tcPr>
            <w:tcW w:type="pct" w:w="15%"/>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2 personas + asesoría legal ($105.0M)</w:t>
            </w:r>
          </w:p>
        </w:tc>
        <w:tc>
          <w:tcPr>
            <w:tcW w:type="pct" w:w="15%"/>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3 personas (Coordinador Admin) ($120.0M)</w:t>
            </w:r>
          </w:p>
        </w:tc>
        <w:tc>
          <w:tcPr>
            <w:tcW w:type="pct" w:w="14%"/>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3 personas + revisoría ($140.0M)</w:t>
            </w:r>
          </w:p>
        </w:tc>
      </w:tr>
      <w:tr>
        <w:tc>
          <w:tcPr>
            <w:tcW w:type="pct" w:w="28%"/>
            <w:tcBorders>
              <w:top w:val="single" w:color="CBD5E1" w:sz="4"/>
              <w:left w:val="single" w:color="CBD5E1" w:sz="4"/>
              <w:bottom w:val="single" w:color="CBD5E1" w:sz="4"/>
              <w:right w:val="single" w:color="CBD5E1" w:sz="4"/>
            </w:tcBorders>
            <w:shd w:fill="F8FAFC"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Mano de Obra Directa — MOD (Desarrollo y Soporte)</w:t>
            </w:r>
          </w:p>
        </w:tc>
        <w:tc>
          <w:tcPr>
            <w:tcW w:type="pct" w:w="14%"/>
            <w:tcBorders>
              <w:top w:val="single" w:color="CBD5E1" w:sz="4"/>
              <w:left w:val="single" w:color="CBD5E1" w:sz="4"/>
              <w:bottom w:val="single" w:color="CBD5E1" w:sz="4"/>
              <w:right w:val="single" w:color="CBD5E1" w:sz="4"/>
            </w:tcBorders>
            <w:shd w:fill="F8FAFC"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1 técnico ($24.0M)</w:t>
            </w:r>
          </w:p>
        </w:tc>
        <w:tc>
          <w:tcPr>
            <w:tcW w:type="pct" w:w="14%"/>
            <w:tcBorders>
              <w:top w:val="single" w:color="CBD5E1" w:sz="4"/>
              <w:left w:val="single" w:color="CBD5E1" w:sz="4"/>
              <w:bottom w:val="single" w:color="CBD5E1" w:sz="4"/>
              <w:right w:val="single" w:color="CBD5E1" w:sz="4"/>
            </w:tcBorders>
            <w:shd w:fill="F8FAFC"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1 técnico semi-senior ($28.8M)</w:t>
            </w:r>
          </w:p>
        </w:tc>
        <w:tc>
          <w:tcPr>
            <w:tcW w:type="pct" w:w="15%"/>
            <w:tcBorders>
              <w:top w:val="single" w:color="CBD5E1" w:sz="4"/>
              <w:left w:val="single" w:color="CBD5E1" w:sz="4"/>
              <w:bottom w:val="single" w:color="CBD5E1" w:sz="4"/>
              <w:right w:val="single" w:color="CBD5E1" w:sz="4"/>
            </w:tcBorders>
            <w:shd w:fill="F8FAFC"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2 desarrolladores full-stack ($48.0M)</w:t>
            </w:r>
          </w:p>
        </w:tc>
        <w:tc>
          <w:tcPr>
            <w:tcW w:type="pct" w:w="15%"/>
            <w:tcBorders>
              <w:top w:val="single" w:color="CBD5E1" w:sz="4"/>
              <w:left w:val="single" w:color="CBD5E1" w:sz="4"/>
              <w:bottom w:val="single" w:color="CBD5E1" w:sz="4"/>
              <w:right w:val="single" w:color="CBD5E1" w:sz="4"/>
            </w:tcBorders>
            <w:shd w:fill="F8FAFC"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3 ingenieros (DevOps + QA) ($72.0M)</w:t>
            </w:r>
          </w:p>
        </w:tc>
        <w:tc>
          <w:tcPr>
            <w:tcW w:type="pct" w:w="14%"/>
            <w:tcBorders>
              <w:top w:val="single" w:color="CBD5E1" w:sz="4"/>
              <w:left w:val="single" w:color="CBD5E1" w:sz="4"/>
              <w:bottom w:val="single" w:color="CBD5E1" w:sz="4"/>
              <w:right w:val="single" w:color="CBD5E1" w:sz="4"/>
            </w:tcBorders>
            <w:shd w:fill="F8FAFC"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4 ingenieros de plataforma ($96.0M)</w:t>
            </w:r>
          </w:p>
        </w:tc>
      </w:tr>
      <w:tr>
        <w:tc>
          <w:tcPr>
            <w:tcW w:type="pct" w:w="28%"/>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Ventas y Mercadeo (Ejecutivos Comerciales)</w:t>
            </w:r>
          </w:p>
        </w:tc>
        <w:tc>
          <w:tcPr>
            <w:tcW w:type="pct" w:w="14%"/>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1 ejecutivo ($21.0M)</w:t>
            </w:r>
          </w:p>
        </w:tc>
        <w:tc>
          <w:tcPr>
            <w:tcW w:type="pct" w:w="14%"/>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1 ejecutivo + pauta ($25.2M)</w:t>
            </w:r>
          </w:p>
        </w:tc>
        <w:tc>
          <w:tcPr>
            <w:tcW w:type="pct" w:w="15%"/>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2 ejecutivos comerciales ($36.0M)</w:t>
            </w:r>
          </w:p>
        </w:tc>
        <w:tc>
          <w:tcPr>
            <w:tcW w:type="pct" w:w="15%"/>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2 ejecutivos + pauta gremial ($52.0M)</w:t>
            </w:r>
          </w:p>
        </w:tc>
        <w:tc>
          <w:tcPr>
            <w:tcW w:type="pct" w:w="14%"/>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3 ejecutivos comerciales ($72.0M)</w:t>
            </w:r>
          </w:p>
        </w:tc>
      </w:tr>
      <w:tr>
        <w:tc>
          <w:tcPr>
            <w:tcW w:type="pct" w:w="28%"/>
            <w:tcBorders>
              <w:top w:val="single" w:color="CBD5E1" w:sz="4"/>
              <w:left w:val="single" w:color="CBD5E1" w:sz="4"/>
              <w:bottom w:val="single" w:color="CBD5E1" w:sz="4"/>
              <w:right w:val="single" w:color="CBD5E1" w:sz="4"/>
            </w:tcBorders>
            <w:shd w:fill="F8FAFC"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TOTAL TALENTO HUMANO (Nómina Total Anual)</w:t>
            </w:r>
          </w:p>
        </w:tc>
        <w:tc>
          <w:tcPr>
            <w:tcW w:type="pct" w:w="14%"/>
            <w:tcBorders>
              <w:top w:val="single" w:color="CBD5E1" w:sz="4"/>
              <w:left w:val="single" w:color="CBD5E1" w:sz="4"/>
              <w:bottom w:val="single" w:color="CBD5E1" w:sz="4"/>
              <w:right w:val="single" w:color="CBD5E1" w:sz="4"/>
            </w:tcBorders>
            <w:shd w:fill="F8FAFC"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$135.000.000</w:t>
            </w:r>
          </w:p>
        </w:tc>
        <w:tc>
          <w:tcPr>
            <w:tcW w:type="pct" w:w="14%"/>
            <w:tcBorders>
              <w:top w:val="single" w:color="CBD5E1" w:sz="4"/>
              <w:left w:val="single" w:color="CBD5E1" w:sz="4"/>
              <w:bottom w:val="single" w:color="CBD5E1" w:sz="4"/>
              <w:right w:val="single" w:color="CBD5E1" w:sz="4"/>
            </w:tcBorders>
            <w:shd w:fill="F8FAFC"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$149.400.000</w:t>
            </w:r>
          </w:p>
        </w:tc>
        <w:tc>
          <w:tcPr>
            <w:tcW w:type="pct" w:w="15%"/>
            <w:tcBorders>
              <w:top w:val="single" w:color="CBD5E1" w:sz="4"/>
              <w:left w:val="single" w:color="CBD5E1" w:sz="4"/>
              <w:bottom w:val="single" w:color="CBD5E1" w:sz="4"/>
              <w:right w:val="single" w:color="CBD5E1" w:sz="4"/>
            </w:tcBorders>
            <w:shd w:fill="F8FAFC"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$189.000.000</w:t>
            </w:r>
          </w:p>
        </w:tc>
        <w:tc>
          <w:tcPr>
            <w:tcW w:type="pct" w:w="15%"/>
            <w:tcBorders>
              <w:top w:val="single" w:color="CBD5E1" w:sz="4"/>
              <w:left w:val="single" w:color="CBD5E1" w:sz="4"/>
              <w:bottom w:val="single" w:color="CBD5E1" w:sz="4"/>
              <w:right w:val="single" w:color="CBD5E1" w:sz="4"/>
            </w:tcBorders>
            <w:shd w:fill="F8FAFC"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$244.000.000</w:t>
            </w:r>
          </w:p>
        </w:tc>
        <w:tc>
          <w:tcPr>
            <w:tcW w:type="pct" w:w="14%"/>
            <w:tcBorders>
              <w:top w:val="single" w:color="CBD5E1" w:sz="4"/>
              <w:left w:val="single" w:color="CBD5E1" w:sz="4"/>
              <w:bottom w:val="single" w:color="CBD5E1" w:sz="4"/>
              <w:right w:val="single" w:color="CBD5E1" w:sz="4"/>
            </w:tcBorders>
            <w:shd w:fill="F8FAFC"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$308.000.000</w:t>
            </w:r>
          </w:p>
        </w:tc>
      </w:tr>
    </w:tbl>
    <w:p>
      <w:pPr>
        <w:spacing w:after="60" w:before="6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none"/>
              <w:left w:val="single" w:color="0284C7" w:sz="20"/>
              <w:bottom w:val="none"/>
              <w:right w:val="none"/>
            </w:tcBorders>
            <w:shd w:fill="EFF6FF" w:val="clear"/>
            <w:tcMar>
              <w:top w:type="dxa" w:w="100"/>
              <w:left w:type="dxa" w:w="140"/>
              <w:bottom w:type="dxa" w:w="100"/>
              <w:right w:type="dxa" w:w="120"/>
            </w:tcMar>
          </w:tcPr>
          <w:p>
            <w:r>
              <w:rPr>
                <w:rFonts w:ascii="Calibri" w:cs="Calibri" w:eastAsia="Calibri" w:hAnsi="Calibri"/>
                <w:b w:val="false"/>
                <w:bCs w:val="false"/>
                <w:i/>
                <w:iCs/>
                <w:color w:val="1E3A5F"/>
                <w:sz w:val="20"/>
                <w:szCs w:val="20"/>
              </w:rPr>
              <w:t xml:space="preserve">La nómina total crece armónicamente de $135.000.000 en el Año 1 a $308.000.000 en el Año 5, vinculada de forma directa con los Costos de Mano de Obra Directa (MOD) y los Gastos Administrativos y de Ventas del modelo financiero.</w:t>
            </w:r>
          </w:p>
        </w:tc>
      </w:tr>
    </w:tbl>
    <w:p>
      <w:pPr>
        <w:pStyle w:val="Heading1"/>
        <w:pBdr>
          <w:bottom w:val="single" w:color="0284C7" w:sz="12" w:space="4"/>
        </w:pBdr>
        <w:spacing w:after="160" w:before="400"/>
      </w:pPr>
      <w:r>
        <w:rPr>
          <w:rFonts w:ascii="Calibri" w:cs="Calibri" w:eastAsia="Calibri" w:hAnsi="Calibri"/>
          <w:b/>
          <w:bCs/>
          <w:i w:val="false"/>
          <w:iCs w:val="false"/>
          <w:color w:val="1E2A5A"/>
          <w:sz w:val="26"/>
          <w:szCs w:val="26"/>
        </w:rPr>
        <w:t xml:space="preserve">6. MÓDULO LEGAL</w:t>
      </w:r>
    </w:p>
    <w:p>
      <w:pPr>
        <w:pStyle w:val="Heading2"/>
        <w:spacing w:after="120" w:before="280"/>
      </w:pPr>
      <w:r>
        <w:rPr>
          <w:rFonts w:ascii="Calibri" w:cs="Calibri" w:eastAsia="Calibri" w:hAnsi="Calibri"/>
          <w:b/>
          <w:bCs/>
          <w:i w:val="false"/>
          <w:iCs w:val="false"/>
          <w:color w:val="0284C7"/>
          <w:sz w:val="24"/>
          <w:szCs w:val="24"/>
        </w:rPr>
        <w:t xml:space="preserve">6.1 TIPO DE SOCIEDAD</w:t>
      </w:r>
    </w:p>
    <w:p>
      <w:pPr>
        <w:spacing w:after="120" w:before="80" w:line="276"/>
        <w:jc w:val="both"/>
      </w:pPr>
      <w:r>
        <w:rPr>
          <w:rFonts w:ascii="Calibri" w:cs="Calibri" w:eastAsia="Calibri" w:hAnsi="Calibri"/>
          <w:b w:val="false"/>
          <w:bCs w:val="false"/>
          <w:i w:val="false"/>
          <w:iCs w:val="false"/>
          <w:color w:val="0F172A"/>
          <w:sz w:val="22"/>
          <w:szCs w:val="22"/>
        </w:rPr>
        <w:t xml:space="preserve">TributoApp se constituirá como Sociedad por Acciones Simplificada (S.A.S.) regulada por la Ley 1258 de 2008. Esta figura societaria ofrece flexibilidad estatutaria, responsabilidad limitada al monto de los aportes de capital, y permite la toma ágil de decisiones para empresas de base tecnológica.</w:t>
      </w:r>
    </w:p>
    <w:p>
      <w:pPr>
        <w:pStyle w:val="Heading2"/>
        <w:spacing w:after="120" w:before="280"/>
      </w:pPr>
      <w:r>
        <w:rPr>
          <w:rFonts w:ascii="Calibri" w:cs="Calibri" w:eastAsia="Calibri" w:hAnsi="Calibri"/>
          <w:b/>
          <w:bCs/>
          <w:i w:val="false"/>
          <w:iCs w:val="false"/>
          <w:color w:val="0284C7"/>
          <w:sz w:val="24"/>
          <w:szCs w:val="24"/>
        </w:rPr>
        <w:t xml:space="preserve">6.2 PERMISOS, LICENCIAS, PATENTES Y DERECHOS DE AUTOR</w:t>
      </w:r>
    </w:p>
    <w:p>
      <w:pPr>
        <w:spacing w:after="120" w:before="80" w:line="276"/>
        <w:jc w:val="both"/>
      </w:pPr>
      <w:r>
        <w:rPr>
          <w:rFonts w:ascii="Calibri" w:cs="Calibri" w:eastAsia="Calibri" w:hAnsi="Calibri"/>
          <w:b w:val="false"/>
          <w:bCs w:val="false"/>
          <w:i w:val="false"/>
          <w:iCs w:val="false"/>
          <w:color w:val="0F172A"/>
          <w:sz w:val="22"/>
          <w:szCs w:val="22"/>
        </w:rPr>
        <w:t xml:space="preserve">• Registro Mercantil: Matrícula mercantil ante la Cámara de Comercio de Barranquilla.</w:t>
      </w:r>
    </w:p>
    <w:p>
      <w:pPr>
        <w:spacing w:after="120" w:before="80" w:line="276"/>
        <w:jc w:val="both"/>
      </w:pPr>
      <w:r>
        <w:rPr>
          <w:rFonts w:ascii="Calibri" w:cs="Calibri" w:eastAsia="Calibri" w:hAnsi="Calibri"/>
          <w:b w:val="false"/>
          <w:bCs w:val="false"/>
          <w:i w:val="false"/>
          <w:iCs w:val="false"/>
          <w:color w:val="0F172A"/>
          <w:sz w:val="22"/>
          <w:szCs w:val="22"/>
        </w:rPr>
        <w:t xml:space="preserve">• Registro Único Tributario (RUT): Expedido por la DIAN bajo la actividad económica principal CIIU 6201 (Desarrollo de sistemas informáticos).</w:t>
      </w:r>
    </w:p>
    <w:p>
      <w:pPr>
        <w:spacing w:after="120" w:before="80" w:line="276"/>
        <w:jc w:val="both"/>
      </w:pPr>
      <w:r>
        <w:rPr>
          <w:rFonts w:ascii="Calibri" w:cs="Calibri" w:eastAsia="Calibri" w:hAnsi="Calibri"/>
          <w:b w:val="false"/>
          <w:bCs w:val="false"/>
          <w:i w:val="false"/>
          <w:iCs w:val="false"/>
          <w:color w:val="0F172A"/>
          <w:sz w:val="22"/>
          <w:szCs w:val="22"/>
        </w:rPr>
        <w:t xml:space="preserve">• Registro de Soporte Lógico (Software): Inscripción del código fuente y algoritmos de notificación ante la Dirección Nacional de Derecho de Autor (DNDA).</w:t>
      </w:r>
    </w:p>
    <w:p>
      <w:pPr>
        <w:spacing w:after="120" w:before="80" w:line="276"/>
        <w:jc w:val="both"/>
      </w:pPr>
      <w:r>
        <w:rPr>
          <w:rFonts w:ascii="Calibri" w:cs="Calibri" w:eastAsia="Calibri" w:hAnsi="Calibri"/>
          <w:b w:val="false"/>
          <w:bCs w:val="false"/>
          <w:i w:val="false"/>
          <w:iCs w:val="false"/>
          <w:color w:val="0F172A"/>
          <w:sz w:val="22"/>
          <w:szCs w:val="22"/>
        </w:rPr>
        <w:t xml:space="preserve">• Política de Tratamiento de Datos Personales: Cumplimiento estricto de la Ley 1581 de 2012 (Habeas Data) y registro de bases de datos ante la Superintendencia de Industria y Comercio (SIC).</w:t>
      </w:r>
    </w:p>
    <w:p>
      <w:pPr>
        <w:pStyle w:val="Heading1"/>
        <w:pBdr>
          <w:bottom w:val="single" w:color="0284C7" w:sz="12" w:space="4"/>
        </w:pBdr>
        <w:spacing w:after="160" w:before="400"/>
      </w:pPr>
      <w:r>
        <w:rPr>
          <w:rFonts w:ascii="Calibri" w:cs="Calibri" w:eastAsia="Calibri" w:hAnsi="Calibri"/>
          <w:b/>
          <w:bCs/>
          <w:i w:val="false"/>
          <w:iCs w:val="false"/>
          <w:color w:val="1E2A5A"/>
          <w:sz w:val="26"/>
          <w:szCs w:val="26"/>
        </w:rPr>
        <w:t xml:space="preserve">7.0 RESPONSABILIDAD SOCIAL EMPRESARIAL (ISO 26000)</w:t>
      </w:r>
    </w:p>
    <w:p>
      <w:pPr>
        <w:spacing w:after="120" w:before="80" w:line="276"/>
        <w:jc w:val="both"/>
      </w:pPr>
      <w:r>
        <w:rPr>
          <w:rFonts w:ascii="Calibri" w:cs="Calibri" w:eastAsia="Calibri" w:hAnsi="Calibri"/>
          <w:b w:val="false"/>
          <w:bCs w:val="false"/>
          <w:i w:val="false"/>
          <w:iCs w:val="false"/>
          <w:color w:val="0F172A"/>
          <w:sz w:val="22"/>
          <w:szCs w:val="22"/>
        </w:rPr>
        <w:t xml:space="preserve">TributoApp S.A.S. asume un compromiso con la formalización empresarial y la educación tributaria en Colombia. Como parte de sus acciones de RSE:</w:t>
      </w:r>
    </w:p>
    <w:p>
      <w:pPr>
        <w:spacing w:after="120" w:before="80" w:line="276"/>
        <w:jc w:val="both"/>
      </w:pPr>
      <w:r>
        <w:rPr>
          <w:rFonts w:ascii="Calibri" w:cs="Calibri" w:eastAsia="Calibri" w:hAnsi="Calibri"/>
          <w:b w:val="false"/>
          <w:bCs w:val="false"/>
          <w:i w:val="false"/>
          <w:iCs w:val="false"/>
          <w:color w:val="0F172A"/>
          <w:sz w:val="22"/>
          <w:szCs w:val="22"/>
        </w:rPr>
        <w:t xml:space="preserve">• Acceso gratuito para estudiantes de Contaduría Pública: convenios académicos con universidades de la región Caribe para que los estudiantes de últimos semestres utilicen la plataforma sin costo en sus consultorios contables.</w:t>
      </w:r>
    </w:p>
    <w:p>
      <w:pPr>
        <w:spacing w:after="120" w:before="80" w:line="276"/>
        <w:jc w:val="both"/>
      </w:pPr>
      <w:r>
        <w:rPr>
          <w:rFonts w:ascii="Calibri" w:cs="Calibri" w:eastAsia="Calibri" w:hAnsi="Calibri"/>
          <w:b w:val="false"/>
          <w:bCs w:val="false"/>
          <w:i w:val="false"/>
          <w:iCs w:val="false"/>
          <w:color w:val="0F172A"/>
          <w:sz w:val="22"/>
          <w:szCs w:val="22"/>
        </w:rPr>
        <w:t xml:space="preserve">• Difusión de cultura fiscal: generación de contenido pedagógico gratuito a través de webinars y redes sociales para desmitificar las obligaciones tributarias y prevenir sanciones en personas naturales y microempresas.</w:t>
      </w:r>
    </w:p>
    <w:p>
      <w:pPr>
        <w:pStyle w:val="Heading1"/>
        <w:pBdr>
          <w:bottom w:val="single" w:color="0284C7" w:sz="12" w:space="4"/>
        </w:pBdr>
        <w:spacing w:after="160" w:before="400"/>
      </w:pPr>
      <w:r>
        <w:rPr>
          <w:rFonts w:ascii="Calibri" w:cs="Calibri" w:eastAsia="Calibri" w:hAnsi="Calibri"/>
          <w:b/>
          <w:bCs/>
          <w:i w:val="false"/>
          <w:iCs w:val="false"/>
          <w:color w:val="1E2A5A"/>
          <w:sz w:val="26"/>
          <w:szCs w:val="26"/>
        </w:rPr>
        <w:t xml:space="preserve">8.0 ASPECTOS AMBIENTALES (ISO 14000)</w:t>
      </w:r>
    </w:p>
    <w:p>
      <w:pPr>
        <w:spacing w:after="120" w:before="80" w:line="276"/>
        <w:jc w:val="both"/>
      </w:pPr>
      <w:r>
        <w:rPr>
          <w:rFonts w:ascii="Calibri" w:cs="Calibri" w:eastAsia="Calibri" w:hAnsi="Calibri"/>
          <w:b w:val="false"/>
          <w:bCs w:val="false"/>
          <w:i w:val="false"/>
          <w:iCs w:val="false"/>
          <w:color w:val="0F172A"/>
          <w:sz w:val="22"/>
          <w:szCs w:val="22"/>
        </w:rPr>
        <w:t xml:space="preserve">Al ser un negocio 100% digital basado en la nube (SaaS), TributoApp S.A.S. opera bajo un modelo de impacto ambiental mínimo (Paperless):</w:t>
      </w:r>
    </w:p>
    <w:p>
      <w:pPr>
        <w:spacing w:after="120" w:before="80" w:line="276"/>
        <w:jc w:val="both"/>
      </w:pPr>
      <w:r>
        <w:rPr>
          <w:rFonts w:ascii="Calibri" w:cs="Calibri" w:eastAsia="Calibri" w:hAnsi="Calibri"/>
          <w:b w:val="false"/>
          <w:bCs w:val="false"/>
          <w:i w:val="false"/>
          <w:iCs w:val="false"/>
          <w:color w:val="0F172A"/>
          <w:sz w:val="22"/>
          <w:szCs w:val="22"/>
        </w:rPr>
        <w:t xml:space="preserve">• Cero uso de papel: notificaciones, reportes, tableros y contratos de suscripción se gestionan digitalmente.</w:t>
      </w:r>
    </w:p>
    <w:p>
      <w:pPr>
        <w:spacing w:after="120" w:before="80" w:line="276"/>
        <w:jc w:val="both"/>
      </w:pPr>
      <w:r>
        <w:rPr>
          <w:rFonts w:ascii="Calibri" w:cs="Calibri" w:eastAsia="Calibri" w:hAnsi="Calibri"/>
          <w:b w:val="false"/>
          <w:bCs w:val="false"/>
          <w:i w:val="false"/>
          <w:iCs w:val="false"/>
          <w:color w:val="0F172A"/>
          <w:sz w:val="22"/>
          <w:szCs w:val="22"/>
        </w:rPr>
        <w:t xml:space="preserve">• Servidores eco-eficientes: los proveedores de nube seleccionados (Vercel y Supabase en centros de datos AWS) cuentan con metas corporativas de neutralidad de carbono y suministro 100% renovable.</w:t>
      </w:r>
    </w:p>
    <w:p>
      <w:pPr>
        <w:pStyle w:val="Heading1"/>
        <w:pBdr>
          <w:bottom w:val="single" w:color="0284C7" w:sz="12" w:space="4"/>
        </w:pBdr>
        <w:spacing w:after="160" w:before="400"/>
      </w:pPr>
      <w:r>
        <w:rPr>
          <w:rFonts w:ascii="Calibri" w:cs="Calibri" w:eastAsia="Calibri" w:hAnsi="Calibri"/>
          <w:b/>
          <w:bCs/>
          <w:i w:val="false"/>
          <w:iCs w:val="false"/>
          <w:color w:val="1E2A5A"/>
          <w:sz w:val="26"/>
          <w:szCs w:val="26"/>
        </w:rPr>
        <w:t xml:space="preserve">9.0 ESTUDIO FINANCIERO DEL PROYECTO</w:t>
      </w:r>
    </w:p>
    <w:p>
      <w:pPr>
        <w:spacing w:after="120" w:before="80" w:line="276"/>
        <w:jc w:val="both"/>
      </w:pPr>
      <w:r>
        <w:rPr>
          <w:rFonts w:ascii="Calibri" w:cs="Calibri" w:eastAsia="Calibri" w:hAnsi="Calibri"/>
          <w:b w:val="false"/>
          <w:bCs w:val="false"/>
          <w:i w:val="false"/>
          <w:iCs w:val="false"/>
          <w:color w:val="0F172A"/>
          <w:sz w:val="22"/>
          <w:szCs w:val="22"/>
        </w:rPr>
        <w:t xml:space="preserve">Todos los valores de esta sección corresponden con exactitud al modelo financiero formulado en el archivo Excel TributoApp_PlanNegocio2025.xlsx.</w:t>
      </w:r>
    </w:p>
    <w:p>
      <w:pPr>
        <w:pStyle w:val="Heading2"/>
        <w:spacing w:after="120" w:before="280"/>
      </w:pPr>
      <w:r>
        <w:rPr>
          <w:rFonts w:ascii="Calibri" w:cs="Calibri" w:eastAsia="Calibri" w:hAnsi="Calibri"/>
          <w:b/>
          <w:bCs/>
          <w:i w:val="false"/>
          <w:iCs w:val="false"/>
          <w:color w:val="0284C7"/>
          <w:sz w:val="24"/>
          <w:szCs w:val="24"/>
        </w:rPr>
        <w:t xml:space="preserve">9.1 INVERSIÓN TOTAL</w:t>
      </w:r>
    </w:p>
    <w:p>
      <w:pPr>
        <w:spacing w:after="120" w:before="80" w:line="276"/>
        <w:jc w:val="both"/>
      </w:pPr>
      <w:r>
        <w:rPr>
          <w:rFonts w:ascii="Calibri" w:cs="Calibri" w:eastAsia="Calibri" w:hAnsi="Calibri"/>
          <w:b w:val="false"/>
          <w:bCs w:val="false"/>
          <w:i w:val="false"/>
          <w:iCs w:val="false"/>
          <w:color w:val="0F172A"/>
          <w:sz w:val="22"/>
          <w:szCs w:val="22"/>
        </w:rPr>
        <w:t xml:space="preserve">La inversión inicial requerida para la puesta en marcha de TributoApp S.A.S. asciende a $50.080.928 COP, distribuida en activos fijos, activos intangibles y capital de trabajo para cubrir 3 meses de operación inicial:</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tblHeader/>
        </w:trPr>
        <w:tc>
          <w:tcPr>
            <w:tcW w:type="pct" w:w="36%"/>
            <w:tcBorders>
              <w:top w:val="single" w:color="CBD5E1" w:sz="4"/>
              <w:left w:val="single" w:color="CBD5E1" w:sz="4"/>
              <w:bottom w:val="single" w:color="CBD5E1" w:sz="4"/>
              <w:right w:val="single" w:color="CBD5E1" w:sz="4"/>
            </w:tcBorders>
            <w:shd w:fill="1E2A5A" w:val="clear"/>
            <w:tcMar>
              <w:top w:type="dxa" w:w="80"/>
              <w:left w:type="dxa" w:w="100"/>
              <w:bottom w:type="dxa" w:w="80"/>
              <w:right w:type="dxa" w:w="80"/>
            </w:tcMar>
            <w:vAlign w:val="center"/>
          </w:tcPr>
          <w:p>
            <w:pPr>
              <w:jc w:val="center"/>
            </w:pPr>
            <w:r>
              <w:rPr>
                <w:rFonts w:ascii="Calibri" w:cs="Calibri" w:eastAsia="Calibri" w:hAnsi="Calibri"/>
                <w:b/>
                <w:bCs/>
                <w:i w:val="false"/>
                <w:iCs w:val="false"/>
                <w:color w:val="FFFFFF"/>
                <w:sz w:val="20"/>
                <w:szCs w:val="20"/>
              </w:rPr>
              <w:t xml:space="preserve">Rubro de Inversión</w:t>
            </w:r>
          </w:p>
        </w:tc>
        <w:tc>
          <w:tcPr>
            <w:tcW w:type="pct" w:w="18%"/>
            <w:tcBorders>
              <w:top w:val="single" w:color="CBD5E1" w:sz="4"/>
              <w:left w:val="single" w:color="CBD5E1" w:sz="4"/>
              <w:bottom w:val="single" w:color="CBD5E1" w:sz="4"/>
              <w:right w:val="single" w:color="CBD5E1" w:sz="4"/>
            </w:tcBorders>
            <w:shd w:fill="1E2A5A" w:val="clear"/>
            <w:tcMar>
              <w:top w:type="dxa" w:w="80"/>
              <w:left w:type="dxa" w:w="100"/>
              <w:bottom w:type="dxa" w:w="80"/>
              <w:right w:type="dxa" w:w="80"/>
            </w:tcMar>
            <w:vAlign w:val="center"/>
          </w:tcPr>
          <w:p>
            <w:pPr>
              <w:jc w:val="center"/>
            </w:pPr>
            <w:r>
              <w:rPr>
                <w:rFonts w:ascii="Calibri" w:cs="Calibri" w:eastAsia="Calibri" w:hAnsi="Calibri"/>
                <w:b/>
                <w:bCs/>
                <w:i w:val="false"/>
                <w:iCs w:val="false"/>
                <w:color w:val="FFFFFF"/>
                <w:sz w:val="20"/>
                <w:szCs w:val="20"/>
              </w:rPr>
              <w:t xml:space="preserve">Valor (COP)</w:t>
            </w:r>
          </w:p>
        </w:tc>
        <w:tc>
          <w:tcPr>
            <w:tcW w:type="pct" w:w="18%"/>
            <w:tcBorders>
              <w:top w:val="single" w:color="CBD5E1" w:sz="4"/>
              <w:left w:val="single" w:color="CBD5E1" w:sz="4"/>
              <w:bottom w:val="single" w:color="CBD5E1" w:sz="4"/>
              <w:right w:val="single" w:color="CBD5E1" w:sz="4"/>
            </w:tcBorders>
            <w:shd w:fill="1E2A5A" w:val="clear"/>
            <w:tcMar>
              <w:top w:type="dxa" w:w="80"/>
              <w:left w:type="dxa" w:w="100"/>
              <w:bottom w:type="dxa" w:w="80"/>
              <w:right w:type="dxa" w:w="80"/>
            </w:tcMar>
            <w:vAlign w:val="center"/>
          </w:tcPr>
          <w:p>
            <w:pPr>
              <w:jc w:val="center"/>
            </w:pPr>
            <w:r>
              <w:rPr>
                <w:rFonts w:ascii="Calibri" w:cs="Calibri" w:eastAsia="Calibri" w:hAnsi="Calibri"/>
                <w:b/>
                <w:bCs/>
                <w:i w:val="false"/>
                <w:iCs w:val="false"/>
                <w:color w:val="FFFFFF"/>
                <w:sz w:val="20"/>
                <w:szCs w:val="20"/>
              </w:rPr>
              <w:t xml:space="preserve">% Participación</w:t>
            </w:r>
          </w:p>
        </w:tc>
        <w:tc>
          <w:tcPr>
            <w:tcW w:type="pct" w:w="28%"/>
            <w:tcBorders>
              <w:top w:val="single" w:color="CBD5E1" w:sz="4"/>
              <w:left w:val="single" w:color="CBD5E1" w:sz="4"/>
              <w:bottom w:val="single" w:color="CBD5E1" w:sz="4"/>
              <w:right w:val="single" w:color="CBD5E1" w:sz="4"/>
            </w:tcBorders>
            <w:shd w:fill="1E2A5A" w:val="clear"/>
            <w:tcMar>
              <w:top w:type="dxa" w:w="80"/>
              <w:left w:type="dxa" w:w="100"/>
              <w:bottom w:type="dxa" w:w="80"/>
              <w:right w:type="dxa" w:w="80"/>
            </w:tcMar>
            <w:vAlign w:val="center"/>
          </w:tcPr>
          <w:p>
            <w:pPr>
              <w:jc w:val="center"/>
            </w:pPr>
            <w:r>
              <w:rPr>
                <w:rFonts w:ascii="Calibri" w:cs="Calibri" w:eastAsia="Calibri" w:hAnsi="Calibri"/>
                <w:b/>
                <w:bCs/>
                <w:i w:val="false"/>
                <w:iCs w:val="false"/>
                <w:color w:val="FFFFFF"/>
                <w:sz w:val="20"/>
                <w:szCs w:val="20"/>
              </w:rPr>
              <w:t xml:space="preserve">Fuente de Financiación</w:t>
            </w:r>
          </w:p>
        </w:tc>
      </w:tr>
      <w:tr>
        <w:tc>
          <w:tcPr>
            <w:tcW w:type="pct" w:w="36%"/>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Activos fijos (equipos de cómputo, monitores, mobiliario y red)</w:t>
            </w:r>
          </w:p>
        </w:tc>
        <w:tc>
          <w:tcPr>
            <w:tcW w:type="pct" w:w="18%"/>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$9.958.928</w:t>
            </w:r>
          </w:p>
        </w:tc>
        <w:tc>
          <w:tcPr>
            <w:tcW w:type="pct" w:w="18%"/>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19.9%</w:t>
            </w:r>
          </w:p>
        </w:tc>
        <w:tc>
          <w:tcPr>
            <w:tcW w:type="pct" w:w="28%"/>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Recursos propios / Crédito</w:t>
            </w:r>
          </w:p>
        </w:tc>
      </w:tr>
      <w:tr>
        <w:tc>
          <w:tcPr>
            <w:tcW w:type="pct" w:w="36%"/>
            <w:tcBorders>
              <w:top w:val="single" w:color="CBD5E1" w:sz="4"/>
              <w:left w:val="single" w:color="CBD5E1" w:sz="4"/>
              <w:bottom w:val="single" w:color="CBD5E1" w:sz="4"/>
              <w:right w:val="single" w:color="CBD5E1" w:sz="4"/>
            </w:tcBorders>
            <w:shd w:fill="F8FAFC"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Activos intangibles (constitución legal, licencias cloud y capacitación)</w:t>
            </w:r>
          </w:p>
        </w:tc>
        <w:tc>
          <w:tcPr>
            <w:tcW w:type="pct" w:w="18%"/>
            <w:tcBorders>
              <w:top w:val="single" w:color="CBD5E1" w:sz="4"/>
              <w:left w:val="single" w:color="CBD5E1" w:sz="4"/>
              <w:bottom w:val="single" w:color="CBD5E1" w:sz="4"/>
              <w:right w:val="single" w:color="CBD5E1" w:sz="4"/>
            </w:tcBorders>
            <w:shd w:fill="F8FAFC"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$3.012.000</w:t>
            </w:r>
          </w:p>
        </w:tc>
        <w:tc>
          <w:tcPr>
            <w:tcW w:type="pct" w:w="18%"/>
            <w:tcBorders>
              <w:top w:val="single" w:color="CBD5E1" w:sz="4"/>
              <w:left w:val="single" w:color="CBD5E1" w:sz="4"/>
              <w:bottom w:val="single" w:color="CBD5E1" w:sz="4"/>
              <w:right w:val="single" w:color="CBD5E1" w:sz="4"/>
            </w:tcBorders>
            <w:shd w:fill="F8FAFC"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6.0%</w:t>
            </w:r>
          </w:p>
        </w:tc>
        <w:tc>
          <w:tcPr>
            <w:tcW w:type="pct" w:w="28%"/>
            <w:tcBorders>
              <w:top w:val="single" w:color="CBD5E1" w:sz="4"/>
              <w:left w:val="single" w:color="CBD5E1" w:sz="4"/>
              <w:bottom w:val="single" w:color="CBD5E1" w:sz="4"/>
              <w:right w:val="single" w:color="CBD5E1" w:sz="4"/>
            </w:tcBorders>
            <w:shd w:fill="F8FAFC"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Recursos propios</w:t>
            </w:r>
          </w:p>
        </w:tc>
      </w:tr>
      <w:tr>
        <w:tc>
          <w:tcPr>
            <w:tcW w:type="pct" w:w="36%"/>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Capital de trabajo (3 meses de nómina y coworking operativo)</w:t>
            </w:r>
          </w:p>
        </w:tc>
        <w:tc>
          <w:tcPr>
            <w:tcW w:type="pct" w:w="18%"/>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$37.110.000</w:t>
            </w:r>
          </w:p>
        </w:tc>
        <w:tc>
          <w:tcPr>
            <w:tcW w:type="pct" w:w="18%"/>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74.1%</w:t>
            </w:r>
          </w:p>
        </w:tc>
        <w:tc>
          <w:tcPr>
            <w:tcW w:type="pct" w:w="28%"/>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Recursos propios / Crédito</w:t>
            </w:r>
          </w:p>
        </w:tc>
      </w:tr>
      <w:tr>
        <w:tc>
          <w:tcPr>
            <w:tcW w:type="pct" w:w="36%"/>
            <w:tcBorders>
              <w:top w:val="single" w:color="CBD5E1" w:sz="4"/>
              <w:left w:val="single" w:color="CBD5E1" w:sz="4"/>
              <w:bottom w:val="single" w:color="CBD5E1" w:sz="4"/>
              <w:right w:val="single" w:color="CBD5E1" w:sz="4"/>
            </w:tcBorders>
            <w:shd w:fill="F8FAFC"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TOTAL INVERSIÓN INICIAL</w:t>
            </w:r>
          </w:p>
        </w:tc>
        <w:tc>
          <w:tcPr>
            <w:tcW w:type="pct" w:w="18%"/>
            <w:tcBorders>
              <w:top w:val="single" w:color="CBD5E1" w:sz="4"/>
              <w:left w:val="single" w:color="CBD5E1" w:sz="4"/>
              <w:bottom w:val="single" w:color="CBD5E1" w:sz="4"/>
              <w:right w:val="single" w:color="CBD5E1" w:sz="4"/>
            </w:tcBorders>
            <w:shd w:fill="F8FAFC"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$50.080.928</w:t>
            </w:r>
          </w:p>
        </w:tc>
        <w:tc>
          <w:tcPr>
            <w:tcW w:type="pct" w:w="18%"/>
            <w:tcBorders>
              <w:top w:val="single" w:color="CBD5E1" w:sz="4"/>
              <w:left w:val="single" w:color="CBD5E1" w:sz="4"/>
              <w:bottom w:val="single" w:color="CBD5E1" w:sz="4"/>
              <w:right w:val="single" w:color="CBD5E1" w:sz="4"/>
            </w:tcBorders>
            <w:shd w:fill="F8FAFC"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100,0%</w:t>
            </w:r>
          </w:p>
        </w:tc>
        <w:tc>
          <w:tcPr>
            <w:tcW w:type="pct" w:w="28%"/>
            <w:tcBorders>
              <w:top w:val="single" w:color="CBD5E1" w:sz="4"/>
              <w:left w:val="single" w:color="CBD5E1" w:sz="4"/>
              <w:bottom w:val="single" w:color="CBD5E1" w:sz="4"/>
              <w:right w:val="single" w:color="CBD5E1" w:sz="4"/>
            </w:tcBorders>
            <w:shd w:fill="F8FAFC"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50% Propios / 50% Crédito</w:t>
            </w:r>
          </w:p>
        </w:tc>
      </w:tr>
    </w:tbl>
    <w:p>
      <w:pPr>
        <w:pStyle w:val="Heading2"/>
        <w:spacing w:after="120" w:before="280"/>
      </w:pPr>
      <w:r>
        <w:rPr>
          <w:rFonts w:ascii="Calibri" w:cs="Calibri" w:eastAsia="Calibri" w:hAnsi="Calibri"/>
          <w:b/>
          <w:bCs/>
          <w:i w:val="false"/>
          <w:iCs w:val="false"/>
          <w:color w:val="0284C7"/>
          <w:sz w:val="24"/>
          <w:szCs w:val="24"/>
        </w:rPr>
        <w:t xml:space="preserve">9.2 ESTRUCTURA Y COSTO DE CAPITAL</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rPr>
          <w:tblHeader/>
        </w:trPr>
        <w:tc>
          <w:tcPr>
            <w:tcW w:type="pct" w:w="30%"/>
            <w:tcBorders>
              <w:top w:val="single" w:color="CBD5E1" w:sz="4"/>
              <w:left w:val="single" w:color="CBD5E1" w:sz="4"/>
              <w:bottom w:val="single" w:color="CBD5E1" w:sz="4"/>
              <w:right w:val="single" w:color="CBD5E1" w:sz="4"/>
            </w:tcBorders>
            <w:shd w:fill="1E2A5A" w:val="clear"/>
            <w:tcMar>
              <w:top w:type="dxa" w:w="80"/>
              <w:left w:type="dxa" w:w="100"/>
              <w:bottom w:type="dxa" w:w="80"/>
              <w:right w:type="dxa" w:w="80"/>
            </w:tcMar>
            <w:vAlign w:val="center"/>
          </w:tcPr>
          <w:p>
            <w:pPr>
              <w:jc w:val="center"/>
            </w:pPr>
            <w:r>
              <w:rPr>
                <w:rFonts w:ascii="Calibri" w:cs="Calibri" w:eastAsia="Calibri" w:hAnsi="Calibri"/>
                <w:b/>
                <w:bCs/>
                <w:i w:val="false"/>
                <w:iCs w:val="false"/>
                <w:color w:val="FFFFFF"/>
                <w:sz w:val="20"/>
                <w:szCs w:val="20"/>
              </w:rPr>
              <w:t xml:space="preserve">Fuente de Financiación</w:t>
            </w:r>
          </w:p>
        </w:tc>
        <w:tc>
          <w:tcPr>
            <w:tcW w:type="pct" w:w="18%"/>
            <w:tcBorders>
              <w:top w:val="single" w:color="CBD5E1" w:sz="4"/>
              <w:left w:val="single" w:color="CBD5E1" w:sz="4"/>
              <w:bottom w:val="single" w:color="CBD5E1" w:sz="4"/>
              <w:right w:val="single" w:color="CBD5E1" w:sz="4"/>
            </w:tcBorders>
            <w:shd w:fill="1E2A5A" w:val="clear"/>
            <w:tcMar>
              <w:top w:type="dxa" w:w="80"/>
              <w:left w:type="dxa" w:w="100"/>
              <w:bottom w:type="dxa" w:w="80"/>
              <w:right w:type="dxa" w:w="80"/>
            </w:tcMar>
            <w:vAlign w:val="center"/>
          </w:tcPr>
          <w:p>
            <w:pPr>
              <w:jc w:val="center"/>
            </w:pPr>
            <w:r>
              <w:rPr>
                <w:rFonts w:ascii="Calibri" w:cs="Calibri" w:eastAsia="Calibri" w:hAnsi="Calibri"/>
                <w:b/>
                <w:bCs/>
                <w:i w:val="false"/>
                <w:iCs w:val="false"/>
                <w:color w:val="FFFFFF"/>
                <w:sz w:val="20"/>
                <w:szCs w:val="20"/>
              </w:rPr>
              <w:t xml:space="preserve">Monto (COP)</w:t>
            </w:r>
          </w:p>
        </w:tc>
        <w:tc>
          <w:tcPr>
            <w:tcW w:type="pct" w:w="16%"/>
            <w:tcBorders>
              <w:top w:val="single" w:color="CBD5E1" w:sz="4"/>
              <w:left w:val="single" w:color="CBD5E1" w:sz="4"/>
              <w:bottom w:val="single" w:color="CBD5E1" w:sz="4"/>
              <w:right w:val="single" w:color="CBD5E1" w:sz="4"/>
            </w:tcBorders>
            <w:shd w:fill="1E2A5A" w:val="clear"/>
            <w:tcMar>
              <w:top w:type="dxa" w:w="80"/>
              <w:left w:type="dxa" w:w="100"/>
              <w:bottom w:type="dxa" w:w="80"/>
              <w:right w:type="dxa" w:w="80"/>
            </w:tcMar>
            <w:vAlign w:val="center"/>
          </w:tcPr>
          <w:p>
            <w:pPr>
              <w:jc w:val="center"/>
            </w:pPr>
            <w:r>
              <w:rPr>
                <w:rFonts w:ascii="Calibri" w:cs="Calibri" w:eastAsia="Calibri" w:hAnsi="Calibri"/>
                <w:b/>
                <w:bCs/>
                <w:i w:val="false"/>
                <w:iCs w:val="false"/>
                <w:color w:val="FFFFFF"/>
                <w:sz w:val="20"/>
                <w:szCs w:val="20"/>
              </w:rPr>
              <w:t xml:space="preserve">Participación (%)</w:t>
            </w:r>
          </w:p>
        </w:tc>
        <w:tc>
          <w:tcPr>
            <w:tcW w:type="pct" w:w="20%"/>
            <w:tcBorders>
              <w:top w:val="single" w:color="CBD5E1" w:sz="4"/>
              <w:left w:val="single" w:color="CBD5E1" w:sz="4"/>
              <w:bottom w:val="single" w:color="CBD5E1" w:sz="4"/>
              <w:right w:val="single" w:color="CBD5E1" w:sz="4"/>
            </w:tcBorders>
            <w:shd w:fill="1E2A5A" w:val="clear"/>
            <w:tcMar>
              <w:top w:type="dxa" w:w="80"/>
              <w:left w:type="dxa" w:w="100"/>
              <w:bottom w:type="dxa" w:w="80"/>
              <w:right w:type="dxa" w:w="80"/>
            </w:tcMar>
            <w:vAlign w:val="center"/>
          </w:tcPr>
          <w:p>
            <w:pPr>
              <w:jc w:val="center"/>
            </w:pPr>
            <w:r>
              <w:rPr>
                <w:rFonts w:ascii="Calibri" w:cs="Calibri" w:eastAsia="Calibri" w:hAnsi="Calibri"/>
                <w:b/>
                <w:bCs/>
                <w:i w:val="false"/>
                <w:iCs w:val="false"/>
                <w:color w:val="FFFFFF"/>
                <w:sz w:val="20"/>
                <w:szCs w:val="20"/>
              </w:rPr>
              <w:t xml:space="preserve">Costo Financiero</w:t>
            </w:r>
          </w:p>
        </w:tc>
        <w:tc>
          <w:tcPr>
            <w:tcW w:type="pct" w:w="16%"/>
            <w:tcBorders>
              <w:top w:val="single" w:color="CBD5E1" w:sz="4"/>
              <w:left w:val="single" w:color="CBD5E1" w:sz="4"/>
              <w:bottom w:val="single" w:color="CBD5E1" w:sz="4"/>
              <w:right w:val="single" w:color="CBD5E1" w:sz="4"/>
            </w:tcBorders>
            <w:shd w:fill="1E2A5A" w:val="clear"/>
            <w:tcMar>
              <w:top w:type="dxa" w:w="80"/>
              <w:left w:type="dxa" w:w="100"/>
              <w:bottom w:type="dxa" w:w="80"/>
              <w:right w:type="dxa" w:w="80"/>
            </w:tcMar>
            <w:vAlign w:val="center"/>
          </w:tcPr>
          <w:p>
            <w:pPr>
              <w:jc w:val="center"/>
            </w:pPr>
            <w:r>
              <w:rPr>
                <w:rFonts w:ascii="Calibri" w:cs="Calibri" w:eastAsia="Calibri" w:hAnsi="Calibri"/>
                <w:b/>
                <w:bCs/>
                <w:i w:val="false"/>
                <w:iCs w:val="false"/>
                <w:color w:val="FFFFFF"/>
                <w:sz w:val="20"/>
                <w:szCs w:val="20"/>
              </w:rPr>
              <w:t xml:space="preserve">Observación</w:t>
            </w:r>
          </w:p>
        </w:tc>
      </w:tr>
      <w:tr>
        <w:tc>
          <w:tcPr>
            <w:tcW w:type="pct" w:w="30%"/>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Recursos Propios (Aporte de Socios)</w:t>
            </w:r>
          </w:p>
        </w:tc>
        <w:tc>
          <w:tcPr>
            <w:tcW w:type="pct" w:w="18%"/>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$25.040.464</w:t>
            </w:r>
          </w:p>
        </w:tc>
        <w:tc>
          <w:tcPr>
            <w:tcW w:type="pct" w:w="16%"/>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50,0%</w:t>
            </w:r>
          </w:p>
        </w:tc>
        <w:tc>
          <w:tcPr>
            <w:tcW w:type="pct" w:w="20%"/>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18,5% TIO E.A.</w:t>
            </w:r>
          </w:p>
        </w:tc>
        <w:tc>
          <w:tcPr>
            <w:tcW w:type="pct" w:w="16%"/>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Capital de los fundadores</w:t>
            </w:r>
          </w:p>
        </w:tc>
      </w:tr>
      <w:tr>
        <w:tc>
          <w:tcPr>
            <w:tcW w:type="pct" w:w="30%"/>
            <w:tcBorders>
              <w:top w:val="single" w:color="CBD5E1" w:sz="4"/>
              <w:left w:val="single" w:color="CBD5E1" w:sz="4"/>
              <w:bottom w:val="single" w:color="CBD5E1" w:sz="4"/>
              <w:right w:val="single" w:color="CBD5E1" w:sz="4"/>
            </w:tcBorders>
            <w:shd w:fill="F8FAFC"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Crédito Bancario (Línea Empresarial)</w:t>
            </w:r>
          </w:p>
        </w:tc>
        <w:tc>
          <w:tcPr>
            <w:tcW w:type="pct" w:w="18%"/>
            <w:tcBorders>
              <w:top w:val="single" w:color="CBD5E1" w:sz="4"/>
              <w:left w:val="single" w:color="CBD5E1" w:sz="4"/>
              <w:bottom w:val="single" w:color="CBD5E1" w:sz="4"/>
              <w:right w:val="single" w:color="CBD5E1" w:sz="4"/>
            </w:tcBorders>
            <w:shd w:fill="F8FAFC"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$25.040.464</w:t>
            </w:r>
          </w:p>
        </w:tc>
        <w:tc>
          <w:tcPr>
            <w:tcW w:type="pct" w:w="16%"/>
            <w:tcBorders>
              <w:top w:val="single" w:color="CBD5E1" w:sz="4"/>
              <w:left w:val="single" w:color="CBD5E1" w:sz="4"/>
              <w:bottom w:val="single" w:color="CBD5E1" w:sz="4"/>
              <w:right w:val="single" w:color="CBD5E1" w:sz="4"/>
            </w:tcBorders>
            <w:shd w:fill="F8FAFC"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50,0%</w:t>
            </w:r>
          </w:p>
        </w:tc>
        <w:tc>
          <w:tcPr>
            <w:tcW w:type="pct" w:w="20%"/>
            <w:tcBorders>
              <w:top w:val="single" w:color="CBD5E1" w:sz="4"/>
              <w:left w:val="single" w:color="CBD5E1" w:sz="4"/>
              <w:bottom w:val="single" w:color="CBD5E1" w:sz="4"/>
              <w:right w:val="single" w:color="CBD5E1" w:sz="4"/>
            </w:tcBorders>
            <w:shd w:fill="F8FAFC"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1,35% mensual nominal (17,5% E.A.)</w:t>
            </w:r>
          </w:p>
        </w:tc>
        <w:tc>
          <w:tcPr>
            <w:tcW w:type="pct" w:w="16%"/>
            <w:tcBorders>
              <w:top w:val="single" w:color="CBD5E1" w:sz="4"/>
              <w:left w:val="single" w:color="CBD5E1" w:sz="4"/>
              <w:bottom w:val="single" w:color="CBD5E1" w:sz="4"/>
              <w:right w:val="single" w:color="CBD5E1" w:sz="4"/>
            </w:tcBorders>
            <w:shd w:fill="F8FAFC"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Plazo: 36 meses</w:t>
            </w:r>
          </w:p>
        </w:tc>
      </w:tr>
      <w:tr>
        <w:tc>
          <w:tcPr>
            <w:tcW w:type="pct" w:w="30%"/>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TOTAL FINANCIACIÓN</w:t>
            </w:r>
          </w:p>
        </w:tc>
        <w:tc>
          <w:tcPr>
            <w:tcW w:type="pct" w:w="18%"/>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$50.080.928</w:t>
            </w:r>
          </w:p>
        </w:tc>
        <w:tc>
          <w:tcPr>
            <w:tcW w:type="pct" w:w="16%"/>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100,0%</w:t>
            </w:r>
          </w:p>
        </w:tc>
        <w:tc>
          <w:tcPr>
            <w:tcW w:type="pct" w:w="20%"/>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WACC = 18,0% E.A.</w:t>
            </w:r>
          </w:p>
        </w:tc>
        <w:tc>
          <w:tcPr>
            <w:tcW w:type="pct" w:w="16%"/>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Estructura equilibrada 50/50</w:t>
            </w:r>
          </w:p>
        </w:tc>
      </w:tr>
    </w:tbl>
    <w:p>
      <w:pPr>
        <w:pStyle w:val="Heading2"/>
        <w:spacing w:after="120" w:before="280"/>
      </w:pPr>
      <w:r>
        <w:rPr>
          <w:rFonts w:ascii="Calibri" w:cs="Calibri" w:eastAsia="Calibri" w:hAnsi="Calibri"/>
          <w:b/>
          <w:bCs/>
          <w:i w:val="false"/>
          <w:iCs w:val="false"/>
          <w:color w:val="0284C7"/>
          <w:sz w:val="24"/>
          <w:szCs w:val="24"/>
        </w:rPr>
        <w:t xml:space="preserve">9.3 PROYECCIÓN DEL CRÉDITO</w:t>
      </w:r>
    </w:p>
    <w:p>
      <w:pPr>
        <w:spacing w:after="120" w:before="80" w:line="276"/>
        <w:jc w:val="both"/>
      </w:pPr>
      <w:r>
        <w:rPr>
          <w:rFonts w:ascii="Calibri" w:cs="Calibri" w:eastAsia="Calibri" w:hAnsi="Calibri"/>
          <w:b w:val="false"/>
          <w:bCs w:val="false"/>
          <w:i w:val="false"/>
          <w:iCs w:val="false"/>
          <w:color w:val="0F172A"/>
          <w:sz w:val="22"/>
          <w:szCs w:val="22"/>
        </w:rPr>
        <w:t xml:space="preserve">El crédito por $25.040.464 COP se amortiza en 36 cuotas mensuales fijas de $882.823 COP bajo sistema de amortización francés: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tblGrid>
      <w:tr>
        <w:trPr>
          <w:tblHeader/>
        </w:trPr>
        <w:tc>
          <w:tcPr>
            <w:tcW w:type="pct" w:w="14%"/>
            <w:tcBorders>
              <w:top w:val="single" w:color="CBD5E1" w:sz="4"/>
              <w:left w:val="single" w:color="CBD5E1" w:sz="4"/>
              <w:bottom w:val="single" w:color="CBD5E1" w:sz="4"/>
              <w:right w:val="single" w:color="CBD5E1" w:sz="4"/>
            </w:tcBorders>
            <w:shd w:fill="1E2A5A" w:val="clear"/>
            <w:tcMar>
              <w:top w:type="dxa" w:w="80"/>
              <w:left w:type="dxa" w:w="100"/>
              <w:bottom w:type="dxa" w:w="80"/>
              <w:right w:type="dxa" w:w="80"/>
            </w:tcMar>
            <w:vAlign w:val="center"/>
          </w:tcPr>
          <w:p>
            <w:pPr>
              <w:jc w:val="center"/>
            </w:pPr>
            <w:r>
              <w:rPr>
                <w:rFonts w:ascii="Calibri" w:cs="Calibri" w:eastAsia="Calibri" w:hAnsi="Calibri"/>
                <w:b/>
                <w:bCs/>
                <w:i w:val="false"/>
                <w:iCs w:val="false"/>
                <w:color w:val="FFFFFF"/>
                <w:sz w:val="20"/>
                <w:szCs w:val="20"/>
              </w:rPr>
              <w:t xml:space="preserve">Período</w:t>
            </w:r>
          </w:p>
        </w:tc>
        <w:tc>
          <w:tcPr>
            <w:tcW w:type="pct" w:w="18%"/>
            <w:tcBorders>
              <w:top w:val="single" w:color="CBD5E1" w:sz="4"/>
              <w:left w:val="single" w:color="CBD5E1" w:sz="4"/>
              <w:bottom w:val="single" w:color="CBD5E1" w:sz="4"/>
              <w:right w:val="single" w:color="CBD5E1" w:sz="4"/>
            </w:tcBorders>
            <w:shd w:fill="1E2A5A" w:val="clear"/>
            <w:tcMar>
              <w:top w:type="dxa" w:w="80"/>
              <w:left w:type="dxa" w:w="100"/>
              <w:bottom w:type="dxa" w:w="80"/>
              <w:right w:type="dxa" w:w="80"/>
            </w:tcMar>
            <w:vAlign w:val="center"/>
          </w:tcPr>
          <w:p>
            <w:pPr>
              <w:jc w:val="center"/>
            </w:pPr>
            <w:r>
              <w:rPr>
                <w:rFonts w:ascii="Calibri" w:cs="Calibri" w:eastAsia="Calibri" w:hAnsi="Calibri"/>
                <w:b/>
                <w:bCs/>
                <w:i w:val="false"/>
                <w:iCs w:val="false"/>
                <w:color w:val="FFFFFF"/>
                <w:sz w:val="20"/>
                <w:szCs w:val="20"/>
              </w:rPr>
              <w:t xml:space="preserve">Saldo Inicial</w:t>
            </w:r>
          </w:p>
        </w:tc>
        <w:tc>
          <w:tcPr>
            <w:tcW w:type="pct" w:w="18%"/>
            <w:tcBorders>
              <w:top w:val="single" w:color="CBD5E1" w:sz="4"/>
              <w:left w:val="single" w:color="CBD5E1" w:sz="4"/>
              <w:bottom w:val="single" w:color="CBD5E1" w:sz="4"/>
              <w:right w:val="single" w:color="CBD5E1" w:sz="4"/>
            </w:tcBorders>
            <w:shd w:fill="1E2A5A" w:val="clear"/>
            <w:tcMar>
              <w:top w:type="dxa" w:w="80"/>
              <w:left w:type="dxa" w:w="100"/>
              <w:bottom w:type="dxa" w:w="80"/>
              <w:right w:type="dxa" w:w="80"/>
            </w:tcMar>
            <w:vAlign w:val="center"/>
          </w:tcPr>
          <w:p>
            <w:pPr>
              <w:jc w:val="center"/>
            </w:pPr>
            <w:r>
              <w:rPr>
                <w:rFonts w:ascii="Calibri" w:cs="Calibri" w:eastAsia="Calibri" w:hAnsi="Calibri"/>
                <w:b/>
                <w:bCs/>
                <w:i w:val="false"/>
                <w:iCs w:val="false"/>
                <w:color w:val="FFFFFF"/>
                <w:sz w:val="20"/>
                <w:szCs w:val="20"/>
              </w:rPr>
              <w:t xml:space="preserve">Cuota Mensual (PMT)</w:t>
            </w:r>
          </w:p>
        </w:tc>
        <w:tc>
          <w:tcPr>
            <w:tcW w:type="pct" w:w="17%"/>
            <w:tcBorders>
              <w:top w:val="single" w:color="CBD5E1" w:sz="4"/>
              <w:left w:val="single" w:color="CBD5E1" w:sz="4"/>
              <w:bottom w:val="single" w:color="CBD5E1" w:sz="4"/>
              <w:right w:val="single" w:color="CBD5E1" w:sz="4"/>
            </w:tcBorders>
            <w:shd w:fill="1E2A5A" w:val="clear"/>
            <w:tcMar>
              <w:top w:type="dxa" w:w="80"/>
              <w:left w:type="dxa" w:w="100"/>
              <w:bottom w:type="dxa" w:w="80"/>
              <w:right w:type="dxa" w:w="80"/>
            </w:tcMar>
            <w:vAlign w:val="center"/>
          </w:tcPr>
          <w:p>
            <w:pPr>
              <w:jc w:val="center"/>
            </w:pPr>
            <w:r>
              <w:rPr>
                <w:rFonts w:ascii="Calibri" w:cs="Calibri" w:eastAsia="Calibri" w:hAnsi="Calibri"/>
                <w:b/>
                <w:bCs/>
                <w:i w:val="false"/>
                <w:iCs w:val="false"/>
                <w:color w:val="FFFFFF"/>
                <w:sz w:val="20"/>
                <w:szCs w:val="20"/>
              </w:rPr>
              <w:t xml:space="preserve">Intereses (1,35%)</w:t>
            </w:r>
          </w:p>
        </w:tc>
        <w:tc>
          <w:tcPr>
            <w:tcW w:type="pct" w:w="17%"/>
            <w:tcBorders>
              <w:top w:val="single" w:color="CBD5E1" w:sz="4"/>
              <w:left w:val="single" w:color="CBD5E1" w:sz="4"/>
              <w:bottom w:val="single" w:color="CBD5E1" w:sz="4"/>
              <w:right w:val="single" w:color="CBD5E1" w:sz="4"/>
            </w:tcBorders>
            <w:shd w:fill="1E2A5A" w:val="clear"/>
            <w:tcMar>
              <w:top w:type="dxa" w:w="80"/>
              <w:left w:type="dxa" w:w="100"/>
              <w:bottom w:type="dxa" w:w="80"/>
              <w:right w:type="dxa" w:w="80"/>
            </w:tcMar>
            <w:vAlign w:val="center"/>
          </w:tcPr>
          <w:p>
            <w:pPr>
              <w:jc w:val="center"/>
            </w:pPr>
            <w:r>
              <w:rPr>
                <w:rFonts w:ascii="Calibri" w:cs="Calibri" w:eastAsia="Calibri" w:hAnsi="Calibri"/>
                <w:b/>
                <w:bCs/>
                <w:i w:val="false"/>
                <w:iCs w:val="false"/>
                <w:color w:val="FFFFFF"/>
                <w:sz w:val="20"/>
                <w:szCs w:val="20"/>
              </w:rPr>
              <w:t xml:space="preserve">Abono a Capital</w:t>
            </w:r>
          </w:p>
        </w:tc>
        <w:tc>
          <w:tcPr>
            <w:tcW w:type="pct" w:w="16%"/>
            <w:tcBorders>
              <w:top w:val="single" w:color="CBD5E1" w:sz="4"/>
              <w:left w:val="single" w:color="CBD5E1" w:sz="4"/>
              <w:bottom w:val="single" w:color="CBD5E1" w:sz="4"/>
              <w:right w:val="single" w:color="CBD5E1" w:sz="4"/>
            </w:tcBorders>
            <w:shd w:fill="1E2A5A" w:val="clear"/>
            <w:tcMar>
              <w:top w:type="dxa" w:w="80"/>
              <w:left w:type="dxa" w:w="100"/>
              <w:bottom w:type="dxa" w:w="80"/>
              <w:right w:type="dxa" w:w="80"/>
            </w:tcMar>
            <w:vAlign w:val="center"/>
          </w:tcPr>
          <w:p>
            <w:pPr>
              <w:jc w:val="center"/>
            </w:pPr>
            <w:r>
              <w:rPr>
                <w:rFonts w:ascii="Calibri" w:cs="Calibri" w:eastAsia="Calibri" w:hAnsi="Calibri"/>
                <w:b/>
                <w:bCs/>
                <w:i w:val="false"/>
                <w:iCs w:val="false"/>
                <w:color w:val="FFFFFF"/>
                <w:sz w:val="20"/>
                <w:szCs w:val="20"/>
              </w:rPr>
              <w:t xml:space="preserve">Saldo Final</w:t>
            </w:r>
          </w:p>
        </w:tc>
      </w:tr>
      <w:tr>
        <w:tc>
          <w:tcPr>
            <w:tcW w:type="pct" w:w="14%"/>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Mes 1</w:t>
            </w:r>
          </w:p>
        </w:tc>
        <w:tc>
          <w:tcPr>
            <w:tcW w:type="pct" w:w="18%"/>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$25.040.464</w:t>
            </w:r>
          </w:p>
        </w:tc>
        <w:tc>
          <w:tcPr>
            <w:tcW w:type="pct" w:w="18%"/>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$882.823</w:t>
            </w:r>
          </w:p>
        </w:tc>
        <w:tc>
          <w:tcPr>
            <w:tcW w:type="pct" w:w="17%"/>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$338.046</w:t>
            </w:r>
          </w:p>
        </w:tc>
        <w:tc>
          <w:tcPr>
            <w:tcW w:type="pct" w:w="17%"/>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$544.777</w:t>
            </w:r>
          </w:p>
        </w:tc>
        <w:tc>
          <w:tcPr>
            <w:tcW w:type="pct" w:w="16%"/>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$24.495.687</w:t>
            </w:r>
          </w:p>
        </w:tc>
      </w:tr>
      <w:tr>
        <w:tc>
          <w:tcPr>
            <w:tcW w:type="pct" w:w="14%"/>
            <w:tcBorders>
              <w:top w:val="single" w:color="CBD5E1" w:sz="4"/>
              <w:left w:val="single" w:color="CBD5E1" w:sz="4"/>
              <w:bottom w:val="single" w:color="CBD5E1" w:sz="4"/>
              <w:right w:val="single" w:color="CBD5E1" w:sz="4"/>
            </w:tcBorders>
            <w:shd w:fill="F8FAFC"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Mes 6</w:t>
            </w:r>
          </w:p>
        </w:tc>
        <w:tc>
          <w:tcPr>
            <w:tcW w:type="pct" w:w="18%"/>
            <w:tcBorders>
              <w:top w:val="single" w:color="CBD5E1" w:sz="4"/>
              <w:left w:val="single" w:color="CBD5E1" w:sz="4"/>
              <w:bottom w:val="single" w:color="CBD5E1" w:sz="4"/>
              <w:right w:val="single" w:color="CBD5E1" w:sz="4"/>
            </w:tcBorders>
            <w:shd w:fill="F8FAFC"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$22.085.120</w:t>
            </w:r>
          </w:p>
        </w:tc>
        <w:tc>
          <w:tcPr>
            <w:tcW w:type="pct" w:w="18%"/>
            <w:tcBorders>
              <w:top w:val="single" w:color="CBD5E1" w:sz="4"/>
              <w:left w:val="single" w:color="CBD5E1" w:sz="4"/>
              <w:bottom w:val="single" w:color="CBD5E1" w:sz="4"/>
              <w:right w:val="single" w:color="CBD5E1" w:sz="4"/>
            </w:tcBorders>
            <w:shd w:fill="F8FAFC"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$882.823</w:t>
            </w:r>
          </w:p>
        </w:tc>
        <w:tc>
          <w:tcPr>
            <w:tcW w:type="pct" w:w="17%"/>
            <w:tcBorders>
              <w:top w:val="single" w:color="CBD5E1" w:sz="4"/>
              <w:left w:val="single" w:color="CBD5E1" w:sz="4"/>
              <w:bottom w:val="single" w:color="CBD5E1" w:sz="4"/>
              <w:right w:val="single" w:color="CBD5E1" w:sz="4"/>
            </w:tcBorders>
            <w:shd w:fill="F8FAFC"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$298.149</w:t>
            </w:r>
          </w:p>
        </w:tc>
        <w:tc>
          <w:tcPr>
            <w:tcW w:type="pct" w:w="17%"/>
            <w:tcBorders>
              <w:top w:val="single" w:color="CBD5E1" w:sz="4"/>
              <w:left w:val="single" w:color="CBD5E1" w:sz="4"/>
              <w:bottom w:val="single" w:color="CBD5E1" w:sz="4"/>
              <w:right w:val="single" w:color="CBD5E1" w:sz="4"/>
            </w:tcBorders>
            <w:shd w:fill="F8FAFC"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$584.674</w:t>
            </w:r>
          </w:p>
        </w:tc>
        <w:tc>
          <w:tcPr>
            <w:tcW w:type="pct" w:w="16%"/>
            <w:tcBorders>
              <w:top w:val="single" w:color="CBD5E1" w:sz="4"/>
              <w:left w:val="single" w:color="CBD5E1" w:sz="4"/>
              <w:bottom w:val="single" w:color="CBD5E1" w:sz="4"/>
              <w:right w:val="single" w:color="CBD5E1" w:sz="4"/>
            </w:tcBorders>
            <w:shd w:fill="F8FAFC"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$21.500.446</w:t>
            </w:r>
          </w:p>
        </w:tc>
      </w:tr>
      <w:tr>
        <w:tc>
          <w:tcPr>
            <w:tcW w:type="pct" w:w="14%"/>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Mes 12</w:t>
            </w:r>
          </w:p>
        </w:tc>
        <w:tc>
          <w:tcPr>
            <w:tcW w:type="pct" w:w="18%"/>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$18.354.210</w:t>
            </w:r>
          </w:p>
        </w:tc>
        <w:tc>
          <w:tcPr>
            <w:tcW w:type="pct" w:w="18%"/>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$882.823</w:t>
            </w:r>
          </w:p>
        </w:tc>
        <w:tc>
          <w:tcPr>
            <w:tcW w:type="pct" w:w="17%"/>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$247.782</w:t>
            </w:r>
          </w:p>
        </w:tc>
        <w:tc>
          <w:tcPr>
            <w:tcW w:type="pct" w:w="17%"/>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$635.041</w:t>
            </w:r>
          </w:p>
        </w:tc>
        <w:tc>
          <w:tcPr>
            <w:tcW w:type="pct" w:w="16%"/>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$17.719.169</w:t>
            </w:r>
          </w:p>
        </w:tc>
      </w:tr>
      <w:tr>
        <w:tc>
          <w:tcPr>
            <w:tcW w:type="pct" w:w="14%"/>
            <w:tcBorders>
              <w:top w:val="single" w:color="CBD5E1" w:sz="4"/>
              <w:left w:val="single" w:color="CBD5E1" w:sz="4"/>
              <w:bottom w:val="single" w:color="CBD5E1" w:sz="4"/>
              <w:right w:val="single" w:color="CBD5E1" w:sz="4"/>
            </w:tcBorders>
            <w:shd w:fill="F8FAFC"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Mes 24</w:t>
            </w:r>
          </w:p>
        </w:tc>
        <w:tc>
          <w:tcPr>
            <w:tcW w:type="pct" w:w="18%"/>
            <w:tcBorders>
              <w:top w:val="single" w:color="CBD5E1" w:sz="4"/>
              <w:left w:val="single" w:color="CBD5E1" w:sz="4"/>
              <w:bottom w:val="single" w:color="CBD5E1" w:sz="4"/>
              <w:right w:val="single" w:color="CBD5E1" w:sz="4"/>
            </w:tcBorders>
            <w:shd w:fill="F8FAFC"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$9.845.600</w:t>
            </w:r>
          </w:p>
        </w:tc>
        <w:tc>
          <w:tcPr>
            <w:tcW w:type="pct" w:w="18%"/>
            <w:tcBorders>
              <w:top w:val="single" w:color="CBD5E1" w:sz="4"/>
              <w:left w:val="single" w:color="CBD5E1" w:sz="4"/>
              <w:bottom w:val="single" w:color="CBD5E1" w:sz="4"/>
              <w:right w:val="single" w:color="CBD5E1" w:sz="4"/>
            </w:tcBorders>
            <w:shd w:fill="F8FAFC"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$882.823</w:t>
            </w:r>
          </w:p>
        </w:tc>
        <w:tc>
          <w:tcPr>
            <w:tcW w:type="pct" w:w="17%"/>
            <w:tcBorders>
              <w:top w:val="single" w:color="CBD5E1" w:sz="4"/>
              <w:left w:val="single" w:color="CBD5E1" w:sz="4"/>
              <w:bottom w:val="single" w:color="CBD5E1" w:sz="4"/>
              <w:right w:val="single" w:color="CBD5E1" w:sz="4"/>
            </w:tcBorders>
            <w:shd w:fill="F8FAFC"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$132.916</w:t>
            </w:r>
          </w:p>
        </w:tc>
        <w:tc>
          <w:tcPr>
            <w:tcW w:type="pct" w:w="17%"/>
            <w:tcBorders>
              <w:top w:val="single" w:color="CBD5E1" w:sz="4"/>
              <w:left w:val="single" w:color="CBD5E1" w:sz="4"/>
              <w:bottom w:val="single" w:color="CBD5E1" w:sz="4"/>
              <w:right w:val="single" w:color="CBD5E1" w:sz="4"/>
            </w:tcBorders>
            <w:shd w:fill="F8FAFC"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$749.907</w:t>
            </w:r>
          </w:p>
        </w:tc>
        <w:tc>
          <w:tcPr>
            <w:tcW w:type="pct" w:w="16%"/>
            <w:tcBorders>
              <w:top w:val="single" w:color="CBD5E1" w:sz="4"/>
              <w:left w:val="single" w:color="CBD5E1" w:sz="4"/>
              <w:bottom w:val="single" w:color="CBD5E1" w:sz="4"/>
              <w:right w:val="single" w:color="CBD5E1" w:sz="4"/>
            </w:tcBorders>
            <w:shd w:fill="F8FAFC"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$9.095.693</w:t>
            </w:r>
          </w:p>
        </w:tc>
      </w:tr>
      <w:tr>
        <w:tc>
          <w:tcPr>
            <w:tcW w:type="pct" w:w="14%"/>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Mes 36</w:t>
            </w:r>
          </w:p>
        </w:tc>
        <w:tc>
          <w:tcPr>
            <w:tcW w:type="pct" w:w="18%"/>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$871.064</w:t>
            </w:r>
          </w:p>
        </w:tc>
        <w:tc>
          <w:tcPr>
            <w:tcW w:type="pct" w:w="18%"/>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$882.823</w:t>
            </w:r>
          </w:p>
        </w:tc>
        <w:tc>
          <w:tcPr>
            <w:tcW w:type="pct" w:w="17%"/>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$11.759</w:t>
            </w:r>
          </w:p>
        </w:tc>
        <w:tc>
          <w:tcPr>
            <w:tcW w:type="pct" w:w="17%"/>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$871.064</w:t>
            </w:r>
          </w:p>
        </w:tc>
        <w:tc>
          <w:tcPr>
            <w:tcW w:type="pct" w:w="16%"/>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$0</w:t>
            </w:r>
          </w:p>
        </w:tc>
      </w:tr>
    </w:tbl>
    <w:p>
      <w:pPr>
        <w:pStyle w:val="Heading2"/>
        <w:spacing w:after="120" w:before="280"/>
      </w:pPr>
      <w:r>
        <w:rPr>
          <w:rFonts w:ascii="Calibri" w:cs="Calibri" w:eastAsia="Calibri" w:hAnsi="Calibri"/>
          <w:b/>
          <w:bCs/>
          <w:i w:val="false"/>
          <w:iCs w:val="false"/>
          <w:color w:val="0284C7"/>
          <w:sz w:val="24"/>
          <w:szCs w:val="24"/>
        </w:rPr>
        <w:t xml:space="preserve">9.4 INGRESOS PROYECTADOS</w:t>
      </w:r>
    </w:p>
    <w:p>
      <w:pPr>
        <w:spacing w:after="120" w:before="80" w:line="276"/>
        <w:jc w:val="both"/>
      </w:pPr>
      <w:r>
        <w:rPr>
          <w:rFonts w:ascii="Calibri" w:cs="Calibri" w:eastAsia="Calibri" w:hAnsi="Calibri"/>
          <w:b w:val="false"/>
          <w:bCs w:val="false"/>
          <w:i w:val="false"/>
          <w:iCs w:val="false"/>
          <w:color w:val="0F172A"/>
          <w:sz w:val="22"/>
          <w:szCs w:val="22"/>
        </w:rPr>
        <w:t xml:space="preserve">Fórmula: Ingresos_año = Σ (Usuarios_plan × Precio_plan) × 12 meses. Los precios son fijos: Básico $14.900/mes (45%), Pro $24.900/mes (38%), Empresarial $39.900/mes (17%). Ticket promedio ponderado = $22.950 COP/mes: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tblGrid>
      <w:tr>
        <w:trPr>
          <w:tblHeader/>
        </w:trPr>
        <w:tc>
          <w:tcPr>
            <w:tcW w:type="pct" w:w="10%"/>
            <w:tcBorders>
              <w:top w:val="single" w:color="CBD5E1" w:sz="4"/>
              <w:left w:val="single" w:color="CBD5E1" w:sz="4"/>
              <w:bottom w:val="single" w:color="CBD5E1" w:sz="4"/>
              <w:right w:val="single" w:color="CBD5E1" w:sz="4"/>
            </w:tcBorders>
            <w:shd w:fill="1E2A5A" w:val="clear"/>
            <w:tcMar>
              <w:top w:type="dxa" w:w="80"/>
              <w:left w:type="dxa" w:w="100"/>
              <w:bottom w:type="dxa" w:w="80"/>
              <w:right w:type="dxa" w:w="80"/>
            </w:tcMar>
            <w:vAlign w:val="center"/>
          </w:tcPr>
          <w:p>
            <w:pPr>
              <w:jc w:val="center"/>
            </w:pPr>
            <w:r>
              <w:rPr>
                <w:rFonts w:ascii="Calibri" w:cs="Calibri" w:eastAsia="Calibri" w:hAnsi="Calibri"/>
                <w:b/>
                <w:bCs/>
                <w:i w:val="false"/>
                <w:iCs w:val="false"/>
                <w:color w:val="FFFFFF"/>
                <w:sz w:val="20"/>
                <w:szCs w:val="20"/>
              </w:rPr>
              <w:t xml:space="preserve">Año</w:t>
            </w:r>
          </w:p>
        </w:tc>
        <w:tc>
          <w:tcPr>
            <w:tcW w:type="pct" w:w="15%"/>
            <w:tcBorders>
              <w:top w:val="single" w:color="CBD5E1" w:sz="4"/>
              <w:left w:val="single" w:color="CBD5E1" w:sz="4"/>
              <w:bottom w:val="single" w:color="CBD5E1" w:sz="4"/>
              <w:right w:val="single" w:color="CBD5E1" w:sz="4"/>
            </w:tcBorders>
            <w:shd w:fill="1E2A5A" w:val="clear"/>
            <w:tcMar>
              <w:top w:type="dxa" w:w="80"/>
              <w:left w:type="dxa" w:w="100"/>
              <w:bottom w:type="dxa" w:w="80"/>
              <w:right w:type="dxa" w:w="80"/>
            </w:tcMar>
            <w:vAlign w:val="center"/>
          </w:tcPr>
          <w:p>
            <w:pPr>
              <w:jc w:val="center"/>
            </w:pPr>
            <w:r>
              <w:rPr>
                <w:rFonts w:ascii="Calibri" w:cs="Calibri" w:eastAsia="Calibri" w:hAnsi="Calibri"/>
                <w:b/>
                <w:bCs/>
                <w:i w:val="false"/>
                <w:iCs w:val="false"/>
                <w:color w:val="FFFFFF"/>
                <w:sz w:val="20"/>
                <w:szCs w:val="20"/>
              </w:rPr>
              <w:t xml:space="preserve">Usuarios/mes (prom.)</w:t>
            </w:r>
          </w:p>
        </w:tc>
        <w:tc>
          <w:tcPr>
            <w:tcW w:type="pct" w:w="19%"/>
            <w:tcBorders>
              <w:top w:val="single" w:color="CBD5E1" w:sz="4"/>
              <w:left w:val="single" w:color="CBD5E1" w:sz="4"/>
              <w:bottom w:val="single" w:color="CBD5E1" w:sz="4"/>
              <w:right w:val="single" w:color="CBD5E1" w:sz="4"/>
            </w:tcBorders>
            <w:shd w:fill="1E2A5A" w:val="clear"/>
            <w:tcMar>
              <w:top w:type="dxa" w:w="80"/>
              <w:left w:type="dxa" w:w="100"/>
              <w:bottom w:type="dxa" w:w="80"/>
              <w:right w:type="dxa" w:w="80"/>
            </w:tcMar>
            <w:vAlign w:val="center"/>
          </w:tcPr>
          <w:p>
            <w:pPr>
              <w:jc w:val="center"/>
            </w:pPr>
            <w:r>
              <w:rPr>
                <w:rFonts w:ascii="Calibri" w:cs="Calibri" w:eastAsia="Calibri" w:hAnsi="Calibri"/>
                <w:b/>
                <w:bCs/>
                <w:i w:val="false"/>
                <w:iCs w:val="false"/>
                <w:color w:val="FFFFFF"/>
                <w:sz w:val="20"/>
                <w:szCs w:val="20"/>
              </w:rPr>
              <w:t xml:space="preserve">Plan Básico (45%, $14.900/mes)</w:t>
            </w:r>
          </w:p>
        </w:tc>
        <w:tc>
          <w:tcPr>
            <w:tcW w:type="pct" w:w="19%"/>
            <w:tcBorders>
              <w:top w:val="single" w:color="CBD5E1" w:sz="4"/>
              <w:left w:val="single" w:color="CBD5E1" w:sz="4"/>
              <w:bottom w:val="single" w:color="CBD5E1" w:sz="4"/>
              <w:right w:val="single" w:color="CBD5E1" w:sz="4"/>
            </w:tcBorders>
            <w:shd w:fill="1E2A5A" w:val="clear"/>
            <w:tcMar>
              <w:top w:type="dxa" w:w="80"/>
              <w:left w:type="dxa" w:w="100"/>
              <w:bottom w:type="dxa" w:w="80"/>
              <w:right w:type="dxa" w:w="80"/>
            </w:tcMar>
            <w:vAlign w:val="center"/>
          </w:tcPr>
          <w:p>
            <w:pPr>
              <w:jc w:val="center"/>
            </w:pPr>
            <w:r>
              <w:rPr>
                <w:rFonts w:ascii="Calibri" w:cs="Calibri" w:eastAsia="Calibri" w:hAnsi="Calibri"/>
                <w:b/>
                <w:bCs/>
                <w:i w:val="false"/>
                <w:iCs w:val="false"/>
                <w:color w:val="FFFFFF"/>
                <w:sz w:val="20"/>
                <w:szCs w:val="20"/>
              </w:rPr>
              <w:t xml:space="preserve">Plan Pro (38%, $24.900/mes)</w:t>
            </w:r>
          </w:p>
        </w:tc>
        <w:tc>
          <w:tcPr>
            <w:tcW w:type="pct" w:w="18%"/>
            <w:tcBorders>
              <w:top w:val="single" w:color="CBD5E1" w:sz="4"/>
              <w:left w:val="single" w:color="CBD5E1" w:sz="4"/>
              <w:bottom w:val="single" w:color="CBD5E1" w:sz="4"/>
              <w:right w:val="single" w:color="CBD5E1" w:sz="4"/>
            </w:tcBorders>
            <w:shd w:fill="1E2A5A" w:val="clear"/>
            <w:tcMar>
              <w:top w:type="dxa" w:w="80"/>
              <w:left w:type="dxa" w:w="100"/>
              <w:bottom w:type="dxa" w:w="80"/>
              <w:right w:type="dxa" w:w="80"/>
            </w:tcMar>
            <w:vAlign w:val="center"/>
          </w:tcPr>
          <w:p>
            <w:pPr>
              <w:jc w:val="center"/>
            </w:pPr>
            <w:r>
              <w:rPr>
                <w:rFonts w:ascii="Calibri" w:cs="Calibri" w:eastAsia="Calibri" w:hAnsi="Calibri"/>
                <w:b/>
                <w:bCs/>
                <w:i w:val="false"/>
                <w:iCs w:val="false"/>
                <w:color w:val="FFFFFF"/>
                <w:sz w:val="20"/>
                <w:szCs w:val="20"/>
              </w:rPr>
              <w:t xml:space="preserve">Plan Empresarial (17%, $39.900/mes)</w:t>
            </w:r>
          </w:p>
        </w:tc>
        <w:tc>
          <w:tcPr>
            <w:tcW w:type="pct" w:w="19%"/>
            <w:tcBorders>
              <w:top w:val="single" w:color="CBD5E1" w:sz="4"/>
              <w:left w:val="single" w:color="CBD5E1" w:sz="4"/>
              <w:bottom w:val="single" w:color="CBD5E1" w:sz="4"/>
              <w:right w:val="single" w:color="CBD5E1" w:sz="4"/>
            </w:tcBorders>
            <w:shd w:fill="1E2A5A" w:val="clear"/>
            <w:tcMar>
              <w:top w:type="dxa" w:w="80"/>
              <w:left w:type="dxa" w:w="100"/>
              <w:bottom w:type="dxa" w:w="80"/>
              <w:right w:type="dxa" w:w="80"/>
            </w:tcMar>
            <w:vAlign w:val="center"/>
          </w:tcPr>
          <w:p>
            <w:pPr>
              <w:jc w:val="center"/>
            </w:pPr>
            <w:r>
              <w:rPr>
                <w:rFonts w:ascii="Calibri" w:cs="Calibri" w:eastAsia="Calibri" w:hAnsi="Calibri"/>
                <w:b/>
                <w:bCs/>
                <w:i w:val="false"/>
                <w:iCs w:val="false"/>
                <w:color w:val="FFFFFF"/>
                <w:sz w:val="20"/>
                <w:szCs w:val="20"/>
              </w:rPr>
              <w:t xml:space="preserve">INGRESOS TOTALES ANUALES (COP)</w:t>
            </w:r>
          </w:p>
        </w:tc>
      </w:tr>
      <w:tr>
        <w:tc>
          <w:tcPr>
            <w:tcW w:type="pct" w:w="10%"/>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Año 1</w:t>
            </w:r>
          </w:p>
        </w:tc>
        <w:tc>
          <w:tcPr>
            <w:tcW w:type="pct" w:w="15%"/>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570</w:t>
            </w:r>
          </w:p>
        </w:tc>
        <w:tc>
          <w:tcPr>
            <w:tcW w:type="pct" w:w="19%"/>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$45.951.600</w:t>
            </w:r>
          </w:p>
        </w:tc>
        <w:tc>
          <w:tcPr>
            <w:tcW w:type="pct" w:w="19%"/>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$64.540.800</w:t>
            </w:r>
          </w:p>
        </w:tc>
        <w:tc>
          <w:tcPr>
            <w:tcW w:type="pct" w:w="18%"/>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$46.443.600</w:t>
            </w:r>
          </w:p>
        </w:tc>
        <w:tc>
          <w:tcPr>
            <w:tcW w:type="pct" w:w="19%"/>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$156.936.000</w:t>
            </w:r>
          </w:p>
        </w:tc>
      </w:tr>
      <w:tr>
        <w:tc>
          <w:tcPr>
            <w:tcW w:type="pct" w:w="10%"/>
            <w:tcBorders>
              <w:top w:val="single" w:color="CBD5E1" w:sz="4"/>
              <w:left w:val="single" w:color="CBD5E1" w:sz="4"/>
              <w:bottom w:val="single" w:color="CBD5E1" w:sz="4"/>
              <w:right w:val="single" w:color="CBD5E1" w:sz="4"/>
            </w:tcBorders>
            <w:shd w:fill="F8FAFC"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Año 2</w:t>
            </w:r>
          </w:p>
        </w:tc>
        <w:tc>
          <w:tcPr>
            <w:tcW w:type="pct" w:w="15%"/>
            <w:tcBorders>
              <w:top w:val="single" w:color="CBD5E1" w:sz="4"/>
              <w:left w:val="single" w:color="CBD5E1" w:sz="4"/>
              <w:bottom w:val="single" w:color="CBD5E1" w:sz="4"/>
              <w:right w:val="single" w:color="CBD5E1" w:sz="4"/>
            </w:tcBorders>
            <w:shd w:fill="F8FAFC"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900</w:t>
            </w:r>
          </w:p>
        </w:tc>
        <w:tc>
          <w:tcPr>
            <w:tcW w:type="pct" w:w="19%"/>
            <w:tcBorders>
              <w:top w:val="single" w:color="CBD5E1" w:sz="4"/>
              <w:left w:val="single" w:color="CBD5E1" w:sz="4"/>
              <w:bottom w:val="single" w:color="CBD5E1" w:sz="4"/>
              <w:right w:val="single" w:color="CBD5E1" w:sz="4"/>
            </w:tcBorders>
            <w:shd w:fill="F8FAFC"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$72.414.000</w:t>
            </w:r>
          </w:p>
        </w:tc>
        <w:tc>
          <w:tcPr>
            <w:tcW w:type="pct" w:w="19%"/>
            <w:tcBorders>
              <w:top w:val="single" w:color="CBD5E1" w:sz="4"/>
              <w:left w:val="single" w:color="CBD5E1" w:sz="4"/>
              <w:bottom w:val="single" w:color="CBD5E1" w:sz="4"/>
              <w:right w:val="single" w:color="CBD5E1" w:sz="4"/>
            </w:tcBorders>
            <w:shd w:fill="F8FAFC"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$102.189.600</w:t>
            </w:r>
          </w:p>
        </w:tc>
        <w:tc>
          <w:tcPr>
            <w:tcW w:type="pct" w:w="18%"/>
            <w:tcBorders>
              <w:top w:val="single" w:color="CBD5E1" w:sz="4"/>
              <w:left w:val="single" w:color="CBD5E1" w:sz="4"/>
              <w:bottom w:val="single" w:color="CBD5E1" w:sz="4"/>
              <w:right w:val="single" w:color="CBD5E1" w:sz="4"/>
            </w:tcBorders>
            <w:shd w:fill="F8FAFC"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$73.256.400</w:t>
            </w:r>
          </w:p>
        </w:tc>
        <w:tc>
          <w:tcPr>
            <w:tcW w:type="pct" w:w="19%"/>
            <w:tcBorders>
              <w:top w:val="single" w:color="CBD5E1" w:sz="4"/>
              <w:left w:val="single" w:color="CBD5E1" w:sz="4"/>
              <w:bottom w:val="single" w:color="CBD5E1" w:sz="4"/>
              <w:right w:val="single" w:color="CBD5E1" w:sz="4"/>
            </w:tcBorders>
            <w:shd w:fill="F8FAFC"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$247.860.000</w:t>
            </w:r>
          </w:p>
        </w:tc>
      </w:tr>
      <w:tr>
        <w:tc>
          <w:tcPr>
            <w:tcW w:type="pct" w:w="10%"/>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Año 3</w:t>
            </w:r>
          </w:p>
        </w:tc>
        <w:tc>
          <w:tcPr>
            <w:tcW w:type="pct" w:w="15%"/>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1350</w:t>
            </w:r>
          </w:p>
        </w:tc>
        <w:tc>
          <w:tcPr>
            <w:tcW w:type="pct" w:w="19%"/>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$108.710.400</w:t>
            </w:r>
          </w:p>
        </w:tc>
        <w:tc>
          <w:tcPr>
            <w:tcW w:type="pct" w:w="19%"/>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$153.284.400</w:t>
            </w:r>
          </w:p>
        </w:tc>
        <w:tc>
          <w:tcPr>
            <w:tcW w:type="pct" w:w="18%"/>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$109.645.200</w:t>
            </w:r>
          </w:p>
        </w:tc>
        <w:tc>
          <w:tcPr>
            <w:tcW w:type="pct" w:w="19%"/>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$371.640.000</w:t>
            </w:r>
          </w:p>
        </w:tc>
      </w:tr>
      <w:tr>
        <w:tc>
          <w:tcPr>
            <w:tcW w:type="pct" w:w="10%"/>
            <w:tcBorders>
              <w:top w:val="single" w:color="CBD5E1" w:sz="4"/>
              <w:left w:val="single" w:color="CBD5E1" w:sz="4"/>
              <w:bottom w:val="single" w:color="CBD5E1" w:sz="4"/>
              <w:right w:val="single" w:color="CBD5E1" w:sz="4"/>
            </w:tcBorders>
            <w:shd w:fill="F8FAFC"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Año 4</w:t>
            </w:r>
          </w:p>
        </w:tc>
        <w:tc>
          <w:tcPr>
            <w:tcW w:type="pct" w:w="15%"/>
            <w:tcBorders>
              <w:top w:val="single" w:color="CBD5E1" w:sz="4"/>
              <w:left w:val="single" w:color="CBD5E1" w:sz="4"/>
              <w:bottom w:val="single" w:color="CBD5E1" w:sz="4"/>
              <w:right w:val="single" w:color="CBD5E1" w:sz="4"/>
            </w:tcBorders>
            <w:shd w:fill="F8FAFC"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1700</w:t>
            </w:r>
          </w:p>
        </w:tc>
        <w:tc>
          <w:tcPr>
            <w:tcW w:type="pct" w:w="19%"/>
            <w:tcBorders>
              <w:top w:val="single" w:color="CBD5E1" w:sz="4"/>
              <w:left w:val="single" w:color="CBD5E1" w:sz="4"/>
              <w:bottom w:val="single" w:color="CBD5E1" w:sz="4"/>
              <w:right w:val="single" w:color="CBD5E1" w:sz="4"/>
            </w:tcBorders>
            <w:shd w:fill="F8FAFC"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$136.782.000</w:t>
            </w:r>
          </w:p>
        </w:tc>
        <w:tc>
          <w:tcPr>
            <w:tcW w:type="pct" w:w="19%"/>
            <w:tcBorders>
              <w:top w:val="single" w:color="CBD5E1" w:sz="4"/>
              <w:left w:val="single" w:color="CBD5E1" w:sz="4"/>
              <w:bottom w:val="single" w:color="CBD5E1" w:sz="4"/>
              <w:right w:val="single" w:color="CBD5E1" w:sz="4"/>
            </w:tcBorders>
            <w:shd w:fill="F8FAFC"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$193.024.800</w:t>
            </w:r>
          </w:p>
        </w:tc>
        <w:tc>
          <w:tcPr>
            <w:tcW w:type="pct" w:w="18%"/>
            <w:tcBorders>
              <w:top w:val="single" w:color="CBD5E1" w:sz="4"/>
              <w:left w:val="single" w:color="CBD5E1" w:sz="4"/>
              <w:bottom w:val="single" w:color="CBD5E1" w:sz="4"/>
              <w:right w:val="single" w:color="CBD5E1" w:sz="4"/>
            </w:tcBorders>
            <w:shd w:fill="F8FAFC"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$138.373.200</w:t>
            </w:r>
          </w:p>
        </w:tc>
        <w:tc>
          <w:tcPr>
            <w:tcW w:type="pct" w:w="19%"/>
            <w:tcBorders>
              <w:top w:val="single" w:color="CBD5E1" w:sz="4"/>
              <w:left w:val="single" w:color="CBD5E1" w:sz="4"/>
              <w:bottom w:val="single" w:color="CBD5E1" w:sz="4"/>
              <w:right w:val="single" w:color="CBD5E1" w:sz="4"/>
            </w:tcBorders>
            <w:shd w:fill="F8FAFC"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$468.180.000</w:t>
            </w:r>
          </w:p>
        </w:tc>
      </w:tr>
      <w:tr>
        <w:tc>
          <w:tcPr>
            <w:tcW w:type="pct" w:w="10%"/>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Año 5</w:t>
            </w:r>
          </w:p>
        </w:tc>
        <w:tc>
          <w:tcPr>
            <w:tcW w:type="pct" w:w="15%"/>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2000</w:t>
            </w:r>
          </w:p>
        </w:tc>
        <w:tc>
          <w:tcPr>
            <w:tcW w:type="pct" w:w="19%"/>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$160.920.000</w:t>
            </w:r>
          </w:p>
        </w:tc>
        <w:tc>
          <w:tcPr>
            <w:tcW w:type="pct" w:w="19%"/>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$227.088.000</w:t>
            </w:r>
          </w:p>
        </w:tc>
        <w:tc>
          <w:tcPr>
            <w:tcW w:type="pct" w:w="18%"/>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$162.792.000</w:t>
            </w:r>
          </w:p>
        </w:tc>
        <w:tc>
          <w:tcPr>
            <w:tcW w:type="pct" w:w="19%"/>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$550.800.000</w:t>
            </w:r>
          </w:p>
        </w:tc>
      </w:tr>
    </w:tbl>
    <w:p>
      <w:pPr>
        <w:pStyle w:val="Heading2"/>
        <w:spacing w:after="120" w:before="280"/>
      </w:pPr>
      <w:r>
        <w:rPr>
          <w:rFonts w:ascii="Calibri" w:cs="Calibri" w:eastAsia="Calibri" w:hAnsi="Calibri"/>
          <w:b/>
          <w:bCs/>
          <w:i w:val="false"/>
          <w:iCs w:val="false"/>
          <w:color w:val="0284C7"/>
          <w:sz w:val="24"/>
          <w:szCs w:val="24"/>
        </w:rPr>
        <w:t xml:space="preserve">9.5 COSTOS PROYECTADOS</w:t>
      </w:r>
    </w:p>
    <w:p>
      <w:pPr>
        <w:spacing w:after="120" w:before="80" w:line="276"/>
        <w:jc w:val="both"/>
      </w:pPr>
      <w:r>
        <w:rPr>
          <w:rFonts w:ascii="Calibri" w:cs="Calibri" w:eastAsia="Calibri" w:hAnsi="Calibri"/>
          <w:b w:val="false"/>
          <w:bCs w:val="false"/>
          <w:i w:val="false"/>
          <w:iCs w:val="false"/>
          <w:color w:val="0F172A"/>
          <w:sz w:val="22"/>
          <w:szCs w:val="22"/>
        </w:rPr>
        <w:t xml:space="preserve">Los costos directos se desglosan en Materia Prima Cloud, Mano de Obra Directa (MOD) y CIF, creciendo progresivamente desde el Año 1 validado:</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gridCol w:w="100"/>
      </w:tblGrid>
      <w:tr>
        <w:trPr>
          <w:tblHeader/>
        </w:trPr>
        <w:tc>
          <w:tcPr>
            <w:tcW w:type="pct" w:w="22%"/>
            <w:tcBorders>
              <w:top w:val="single" w:color="CBD5E1" w:sz="4"/>
              <w:left w:val="single" w:color="CBD5E1" w:sz="4"/>
              <w:bottom w:val="single" w:color="CBD5E1" w:sz="4"/>
              <w:right w:val="single" w:color="CBD5E1" w:sz="4"/>
            </w:tcBorders>
            <w:shd w:fill="1E2A5A" w:val="clear"/>
            <w:tcMar>
              <w:top w:type="dxa" w:w="80"/>
              <w:left w:type="dxa" w:w="100"/>
              <w:bottom w:type="dxa" w:w="80"/>
              <w:right w:type="dxa" w:w="80"/>
            </w:tcMar>
            <w:vAlign w:val="center"/>
          </w:tcPr>
          <w:p>
            <w:pPr>
              <w:jc w:val="center"/>
            </w:pPr>
            <w:r>
              <w:rPr>
                <w:rFonts w:ascii="Calibri" w:cs="Calibri" w:eastAsia="Calibri" w:hAnsi="Calibri"/>
                <w:b/>
                <w:bCs/>
                <w:i w:val="false"/>
                <w:iCs w:val="false"/>
                <w:color w:val="FFFFFF"/>
                <w:sz w:val="20"/>
                <w:szCs w:val="20"/>
              </w:rPr>
              <w:t xml:space="preserve">Elemento del Costo</w:t>
            </w:r>
          </w:p>
        </w:tc>
        <w:tc>
          <w:tcPr>
            <w:tcW w:type="pct" w:w="22%"/>
            <w:tcBorders>
              <w:top w:val="single" w:color="CBD5E1" w:sz="4"/>
              <w:left w:val="single" w:color="CBD5E1" w:sz="4"/>
              <w:bottom w:val="single" w:color="CBD5E1" w:sz="4"/>
              <w:right w:val="single" w:color="CBD5E1" w:sz="4"/>
            </w:tcBorders>
            <w:shd w:fill="1E2A5A" w:val="clear"/>
            <w:tcMar>
              <w:top w:type="dxa" w:w="80"/>
              <w:left w:type="dxa" w:w="100"/>
              <w:bottom w:type="dxa" w:w="80"/>
              <w:right w:type="dxa" w:w="80"/>
            </w:tcMar>
            <w:vAlign w:val="center"/>
          </w:tcPr>
          <w:p>
            <w:pPr>
              <w:jc w:val="center"/>
            </w:pPr>
            <w:r>
              <w:rPr>
                <w:rFonts w:ascii="Calibri" w:cs="Calibri" w:eastAsia="Calibri" w:hAnsi="Calibri"/>
                <w:b/>
                <w:bCs/>
                <w:i w:val="false"/>
                <w:iCs w:val="false"/>
                <w:color w:val="FFFFFF"/>
                <w:sz w:val="20"/>
                <w:szCs w:val="20"/>
              </w:rPr>
              <w:t xml:space="preserve">Fórmula / Supuesto</w:t>
            </w:r>
          </w:p>
        </w:tc>
        <w:tc>
          <w:tcPr>
            <w:tcW w:type="pct" w:w="11%"/>
            <w:tcBorders>
              <w:top w:val="single" w:color="CBD5E1" w:sz="4"/>
              <w:left w:val="single" w:color="CBD5E1" w:sz="4"/>
              <w:bottom w:val="single" w:color="CBD5E1" w:sz="4"/>
              <w:right w:val="single" w:color="CBD5E1" w:sz="4"/>
            </w:tcBorders>
            <w:shd w:fill="1E2A5A" w:val="clear"/>
            <w:tcMar>
              <w:top w:type="dxa" w:w="80"/>
              <w:left w:type="dxa" w:w="100"/>
              <w:bottom w:type="dxa" w:w="80"/>
              <w:right w:type="dxa" w:w="80"/>
            </w:tcMar>
            <w:vAlign w:val="center"/>
          </w:tcPr>
          <w:p>
            <w:pPr>
              <w:jc w:val="center"/>
            </w:pPr>
            <w:r>
              <w:rPr>
                <w:rFonts w:ascii="Calibri" w:cs="Calibri" w:eastAsia="Calibri" w:hAnsi="Calibri"/>
                <w:b/>
                <w:bCs/>
                <w:i w:val="false"/>
                <w:iCs w:val="false"/>
                <w:color w:val="FFFFFF"/>
                <w:sz w:val="20"/>
                <w:szCs w:val="20"/>
              </w:rPr>
              <w:t xml:space="preserve">Año 1</w:t>
            </w:r>
          </w:p>
        </w:tc>
        <w:tc>
          <w:tcPr>
            <w:tcW w:type="pct" w:w="11%"/>
            <w:tcBorders>
              <w:top w:val="single" w:color="CBD5E1" w:sz="4"/>
              <w:left w:val="single" w:color="CBD5E1" w:sz="4"/>
              <w:bottom w:val="single" w:color="CBD5E1" w:sz="4"/>
              <w:right w:val="single" w:color="CBD5E1" w:sz="4"/>
            </w:tcBorders>
            <w:shd w:fill="1E2A5A" w:val="clear"/>
            <w:tcMar>
              <w:top w:type="dxa" w:w="80"/>
              <w:left w:type="dxa" w:w="100"/>
              <w:bottom w:type="dxa" w:w="80"/>
              <w:right w:type="dxa" w:w="80"/>
            </w:tcMar>
            <w:vAlign w:val="center"/>
          </w:tcPr>
          <w:p>
            <w:pPr>
              <w:jc w:val="center"/>
            </w:pPr>
            <w:r>
              <w:rPr>
                <w:rFonts w:ascii="Calibri" w:cs="Calibri" w:eastAsia="Calibri" w:hAnsi="Calibri"/>
                <w:b/>
                <w:bCs/>
                <w:i w:val="false"/>
                <w:iCs w:val="false"/>
                <w:color w:val="FFFFFF"/>
                <w:sz w:val="20"/>
                <w:szCs w:val="20"/>
              </w:rPr>
              <w:t xml:space="preserve">Año 2</w:t>
            </w:r>
          </w:p>
        </w:tc>
        <w:tc>
          <w:tcPr>
            <w:tcW w:type="pct" w:w="11%"/>
            <w:tcBorders>
              <w:top w:val="single" w:color="CBD5E1" w:sz="4"/>
              <w:left w:val="single" w:color="CBD5E1" w:sz="4"/>
              <w:bottom w:val="single" w:color="CBD5E1" w:sz="4"/>
              <w:right w:val="single" w:color="CBD5E1" w:sz="4"/>
            </w:tcBorders>
            <w:shd w:fill="1E2A5A" w:val="clear"/>
            <w:tcMar>
              <w:top w:type="dxa" w:w="80"/>
              <w:left w:type="dxa" w:w="100"/>
              <w:bottom w:type="dxa" w:w="80"/>
              <w:right w:type="dxa" w:w="80"/>
            </w:tcMar>
            <w:vAlign w:val="center"/>
          </w:tcPr>
          <w:p>
            <w:pPr>
              <w:jc w:val="center"/>
            </w:pPr>
            <w:r>
              <w:rPr>
                <w:rFonts w:ascii="Calibri" w:cs="Calibri" w:eastAsia="Calibri" w:hAnsi="Calibri"/>
                <w:b/>
                <w:bCs/>
                <w:i w:val="false"/>
                <w:iCs w:val="false"/>
                <w:color w:val="FFFFFF"/>
                <w:sz w:val="20"/>
                <w:szCs w:val="20"/>
              </w:rPr>
              <w:t xml:space="preserve">Año 3</w:t>
            </w:r>
          </w:p>
        </w:tc>
        <w:tc>
          <w:tcPr>
            <w:tcW w:type="pct" w:w="11%"/>
            <w:tcBorders>
              <w:top w:val="single" w:color="CBD5E1" w:sz="4"/>
              <w:left w:val="single" w:color="CBD5E1" w:sz="4"/>
              <w:bottom w:val="single" w:color="CBD5E1" w:sz="4"/>
              <w:right w:val="single" w:color="CBD5E1" w:sz="4"/>
            </w:tcBorders>
            <w:shd w:fill="1E2A5A" w:val="clear"/>
            <w:tcMar>
              <w:top w:type="dxa" w:w="80"/>
              <w:left w:type="dxa" w:w="100"/>
              <w:bottom w:type="dxa" w:w="80"/>
              <w:right w:type="dxa" w:w="80"/>
            </w:tcMar>
            <w:vAlign w:val="center"/>
          </w:tcPr>
          <w:p>
            <w:pPr>
              <w:jc w:val="center"/>
            </w:pPr>
            <w:r>
              <w:rPr>
                <w:rFonts w:ascii="Calibri" w:cs="Calibri" w:eastAsia="Calibri" w:hAnsi="Calibri"/>
                <w:b/>
                <w:bCs/>
                <w:i w:val="false"/>
                <w:iCs w:val="false"/>
                <w:color w:val="FFFFFF"/>
                <w:sz w:val="20"/>
                <w:szCs w:val="20"/>
              </w:rPr>
              <w:t xml:space="preserve">Año 4</w:t>
            </w:r>
          </w:p>
        </w:tc>
        <w:tc>
          <w:tcPr>
            <w:tcW w:type="pct" w:w="12%"/>
            <w:tcBorders>
              <w:top w:val="single" w:color="CBD5E1" w:sz="4"/>
              <w:left w:val="single" w:color="CBD5E1" w:sz="4"/>
              <w:bottom w:val="single" w:color="CBD5E1" w:sz="4"/>
              <w:right w:val="single" w:color="CBD5E1" w:sz="4"/>
            </w:tcBorders>
            <w:shd w:fill="1E2A5A" w:val="clear"/>
            <w:tcMar>
              <w:top w:type="dxa" w:w="80"/>
              <w:left w:type="dxa" w:w="100"/>
              <w:bottom w:type="dxa" w:w="80"/>
              <w:right w:type="dxa" w:w="80"/>
            </w:tcMar>
            <w:vAlign w:val="center"/>
          </w:tcPr>
          <w:p>
            <w:pPr>
              <w:jc w:val="center"/>
            </w:pPr>
            <w:r>
              <w:rPr>
                <w:rFonts w:ascii="Calibri" w:cs="Calibri" w:eastAsia="Calibri" w:hAnsi="Calibri"/>
                <w:b/>
                <w:bCs/>
                <w:i w:val="false"/>
                <w:iCs w:val="false"/>
                <w:color w:val="FFFFFF"/>
                <w:sz w:val="20"/>
                <w:szCs w:val="20"/>
              </w:rPr>
              <w:t xml:space="preserve">Año 5</w:t>
            </w:r>
          </w:p>
        </w:tc>
      </w:tr>
      <w:tr>
        <w:tc>
          <w:tcPr>
            <w:tcW w:type="pct" w:w="22%"/>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Materia prima — cloud (Supabase, Vercel, Resend, IA)</w:t>
            </w:r>
          </w:p>
        </w:tc>
        <w:tc>
          <w:tcPr>
            <w:tcW w:type="pct" w:w="22%"/>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Base fija plan cloud + (usuarios × costo variable/año)</w:t>
            </w:r>
          </w:p>
        </w:tc>
        <w:tc>
          <w:tcPr>
            <w:tcW w:type="pct" w:w="11%"/>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$6.457.534</w:t>
            </w:r>
          </w:p>
        </w:tc>
        <w:tc>
          <w:tcPr>
            <w:tcW w:type="pct" w:w="11%"/>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$8.500.000</w:t>
            </w:r>
          </w:p>
        </w:tc>
        <w:tc>
          <w:tcPr>
            <w:tcW w:type="pct" w:w="11%"/>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$14.500.000</w:t>
            </w:r>
          </w:p>
        </w:tc>
        <w:tc>
          <w:tcPr>
            <w:tcW w:type="pct" w:w="11%"/>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$22.500.000</w:t>
            </w:r>
          </w:p>
        </w:tc>
        <w:tc>
          <w:tcPr>
            <w:tcW w:type="pct" w:w="12%"/>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$32.000.000</w:t>
            </w:r>
          </w:p>
        </w:tc>
      </w:tr>
      <w:tr>
        <w:tc>
          <w:tcPr>
            <w:tcW w:type="pct" w:w="22%"/>
            <w:tcBorders>
              <w:top w:val="single" w:color="CBD5E1" w:sz="4"/>
              <w:left w:val="single" w:color="CBD5E1" w:sz="4"/>
              <w:bottom w:val="single" w:color="CBD5E1" w:sz="4"/>
              <w:right w:val="single" w:color="CBD5E1" w:sz="4"/>
            </w:tcBorders>
            <w:shd w:fill="F8FAFC"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Mano de obra directa (técnicos de plataforma)</w:t>
            </w:r>
          </w:p>
        </w:tc>
        <w:tc>
          <w:tcPr>
            <w:tcW w:type="pct" w:w="22%"/>
            <w:tcBorders>
              <w:top w:val="single" w:color="CBD5E1" w:sz="4"/>
              <w:left w:val="single" w:color="CBD5E1" w:sz="4"/>
              <w:bottom w:val="single" w:color="CBD5E1" w:sz="4"/>
              <w:right w:val="single" w:color="CBD5E1" w:sz="4"/>
            </w:tcBorders>
            <w:shd w:fill="F8FAFC"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N técnicos × salario/mes × 12 meses</w:t>
            </w:r>
          </w:p>
        </w:tc>
        <w:tc>
          <w:tcPr>
            <w:tcW w:type="pct" w:w="11%"/>
            <w:tcBorders>
              <w:top w:val="single" w:color="CBD5E1" w:sz="4"/>
              <w:left w:val="single" w:color="CBD5E1" w:sz="4"/>
              <w:bottom w:val="single" w:color="CBD5E1" w:sz="4"/>
              <w:right w:val="single" w:color="CBD5E1" w:sz="4"/>
            </w:tcBorders>
            <w:shd w:fill="F8FAFC"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$24.000.000</w:t>
            </w:r>
          </w:p>
        </w:tc>
        <w:tc>
          <w:tcPr>
            <w:tcW w:type="pct" w:w="11%"/>
            <w:tcBorders>
              <w:top w:val="single" w:color="CBD5E1" w:sz="4"/>
              <w:left w:val="single" w:color="CBD5E1" w:sz="4"/>
              <w:bottom w:val="single" w:color="CBD5E1" w:sz="4"/>
              <w:right w:val="single" w:color="CBD5E1" w:sz="4"/>
            </w:tcBorders>
            <w:shd w:fill="F8FAFC"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$28.800.000</w:t>
            </w:r>
          </w:p>
        </w:tc>
        <w:tc>
          <w:tcPr>
            <w:tcW w:type="pct" w:w="11%"/>
            <w:tcBorders>
              <w:top w:val="single" w:color="CBD5E1" w:sz="4"/>
              <w:left w:val="single" w:color="CBD5E1" w:sz="4"/>
              <w:bottom w:val="single" w:color="CBD5E1" w:sz="4"/>
              <w:right w:val="single" w:color="CBD5E1" w:sz="4"/>
            </w:tcBorders>
            <w:shd w:fill="F8FAFC"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$48.000.000</w:t>
            </w:r>
          </w:p>
        </w:tc>
        <w:tc>
          <w:tcPr>
            <w:tcW w:type="pct" w:w="11%"/>
            <w:tcBorders>
              <w:top w:val="single" w:color="CBD5E1" w:sz="4"/>
              <w:left w:val="single" w:color="CBD5E1" w:sz="4"/>
              <w:bottom w:val="single" w:color="CBD5E1" w:sz="4"/>
              <w:right w:val="single" w:color="CBD5E1" w:sz="4"/>
            </w:tcBorders>
            <w:shd w:fill="F8FAFC"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$72.000.000</w:t>
            </w:r>
          </w:p>
        </w:tc>
        <w:tc>
          <w:tcPr>
            <w:tcW w:type="pct" w:w="12%"/>
            <w:tcBorders>
              <w:top w:val="single" w:color="CBD5E1" w:sz="4"/>
              <w:left w:val="single" w:color="CBD5E1" w:sz="4"/>
              <w:bottom w:val="single" w:color="CBD5E1" w:sz="4"/>
              <w:right w:val="single" w:color="CBD5E1" w:sz="4"/>
            </w:tcBorders>
            <w:shd w:fill="F8FAFC"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$96.000.000</w:t>
            </w:r>
          </w:p>
        </w:tc>
      </w:tr>
      <w:tr>
        <w:tc>
          <w:tcPr>
            <w:tcW w:type="pct" w:w="22%"/>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CIF — coworking + conectividad operativa</w:t>
            </w:r>
          </w:p>
        </w:tc>
        <w:tc>
          <w:tcPr>
            <w:tcW w:type="pct" w:w="22%"/>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Coworking mensual × 12 meses (crece con puestos)</w:t>
            </w:r>
          </w:p>
        </w:tc>
        <w:tc>
          <w:tcPr>
            <w:tcW w:type="pct" w:w="11%"/>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$13.440.000</w:t>
            </w:r>
          </w:p>
        </w:tc>
        <w:tc>
          <w:tcPr>
            <w:tcW w:type="pct" w:w="11%"/>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$14.400.000</w:t>
            </w:r>
          </w:p>
        </w:tc>
        <w:tc>
          <w:tcPr>
            <w:tcW w:type="pct" w:w="11%"/>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$18.000.000</w:t>
            </w:r>
          </w:p>
        </w:tc>
        <w:tc>
          <w:tcPr>
            <w:tcW w:type="pct" w:w="11%"/>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$24.000.000</w:t>
            </w:r>
          </w:p>
        </w:tc>
        <w:tc>
          <w:tcPr>
            <w:tcW w:type="pct" w:w="12%"/>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$30.000.000</w:t>
            </w:r>
          </w:p>
        </w:tc>
      </w:tr>
      <w:tr>
        <w:tc>
          <w:tcPr>
            <w:tcW w:type="pct" w:w="22%"/>
            <w:tcBorders>
              <w:top w:val="single" w:color="CBD5E1" w:sz="4"/>
              <w:left w:val="single" w:color="CBD5E1" w:sz="4"/>
              <w:bottom w:val="single" w:color="CBD5E1" w:sz="4"/>
              <w:right w:val="single" w:color="CBD5E1" w:sz="4"/>
            </w:tcBorders>
            <w:shd w:fill="F8FAFC"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TOTAL COSTOS</w:t>
            </w:r>
          </w:p>
        </w:tc>
        <w:tc>
          <w:tcPr>
            <w:tcW w:type="pct" w:w="22%"/>
            <w:tcBorders>
              <w:top w:val="single" w:color="CBD5E1" w:sz="4"/>
              <w:left w:val="single" w:color="CBD5E1" w:sz="4"/>
              <w:bottom w:val="single" w:color="CBD5E1" w:sz="4"/>
              <w:right w:val="single" w:color="CBD5E1" w:sz="4"/>
            </w:tcBorders>
            <w:shd w:fill="F8FAFC"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 MP + MOD + CIF</w:t>
            </w:r>
          </w:p>
        </w:tc>
        <w:tc>
          <w:tcPr>
            <w:tcW w:type="pct" w:w="11%"/>
            <w:tcBorders>
              <w:top w:val="single" w:color="CBD5E1" w:sz="4"/>
              <w:left w:val="single" w:color="CBD5E1" w:sz="4"/>
              <w:bottom w:val="single" w:color="CBD5E1" w:sz="4"/>
              <w:right w:val="single" w:color="CBD5E1" w:sz="4"/>
            </w:tcBorders>
            <w:shd w:fill="F8FAFC"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$43.897.534</w:t>
            </w:r>
          </w:p>
        </w:tc>
        <w:tc>
          <w:tcPr>
            <w:tcW w:type="pct" w:w="11%"/>
            <w:tcBorders>
              <w:top w:val="single" w:color="CBD5E1" w:sz="4"/>
              <w:left w:val="single" w:color="CBD5E1" w:sz="4"/>
              <w:bottom w:val="single" w:color="CBD5E1" w:sz="4"/>
              <w:right w:val="single" w:color="CBD5E1" w:sz="4"/>
            </w:tcBorders>
            <w:shd w:fill="F8FAFC"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$51.700.000</w:t>
            </w:r>
          </w:p>
        </w:tc>
        <w:tc>
          <w:tcPr>
            <w:tcW w:type="pct" w:w="11%"/>
            <w:tcBorders>
              <w:top w:val="single" w:color="CBD5E1" w:sz="4"/>
              <w:left w:val="single" w:color="CBD5E1" w:sz="4"/>
              <w:bottom w:val="single" w:color="CBD5E1" w:sz="4"/>
              <w:right w:val="single" w:color="CBD5E1" w:sz="4"/>
            </w:tcBorders>
            <w:shd w:fill="F8FAFC"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$80.500.000</w:t>
            </w:r>
          </w:p>
        </w:tc>
        <w:tc>
          <w:tcPr>
            <w:tcW w:type="pct" w:w="11%"/>
            <w:tcBorders>
              <w:top w:val="single" w:color="CBD5E1" w:sz="4"/>
              <w:left w:val="single" w:color="CBD5E1" w:sz="4"/>
              <w:bottom w:val="single" w:color="CBD5E1" w:sz="4"/>
              <w:right w:val="single" w:color="CBD5E1" w:sz="4"/>
            </w:tcBorders>
            <w:shd w:fill="F8FAFC"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$118.500.000</w:t>
            </w:r>
          </w:p>
        </w:tc>
        <w:tc>
          <w:tcPr>
            <w:tcW w:type="pct" w:w="12%"/>
            <w:tcBorders>
              <w:top w:val="single" w:color="CBD5E1" w:sz="4"/>
              <w:left w:val="single" w:color="CBD5E1" w:sz="4"/>
              <w:bottom w:val="single" w:color="CBD5E1" w:sz="4"/>
              <w:right w:val="single" w:color="CBD5E1" w:sz="4"/>
            </w:tcBorders>
            <w:shd w:fill="F8FAFC"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$158.000.000</w:t>
            </w:r>
          </w:p>
        </w:tc>
      </w:tr>
    </w:tbl>
    <w:p>
      <w:pPr>
        <w:pStyle w:val="Heading2"/>
        <w:spacing w:after="120" w:before="280"/>
      </w:pPr>
      <w:r>
        <w:rPr>
          <w:rFonts w:ascii="Calibri" w:cs="Calibri" w:eastAsia="Calibri" w:hAnsi="Calibri"/>
          <w:b/>
          <w:bCs/>
          <w:i w:val="false"/>
          <w:iCs w:val="false"/>
          <w:color w:val="0284C7"/>
          <w:sz w:val="24"/>
          <w:szCs w:val="24"/>
        </w:rPr>
        <w:t xml:space="preserve">9.6 GASTOS PROYECTADOS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gridCol w:w="100"/>
      </w:tblGrid>
      <w:tr>
        <w:trPr>
          <w:tblHeader/>
        </w:trPr>
        <w:tc>
          <w:tcPr>
            <w:tcW w:type="pct" w:w="22%"/>
            <w:tcBorders>
              <w:top w:val="single" w:color="CBD5E1" w:sz="4"/>
              <w:left w:val="single" w:color="CBD5E1" w:sz="4"/>
              <w:bottom w:val="single" w:color="CBD5E1" w:sz="4"/>
              <w:right w:val="single" w:color="CBD5E1" w:sz="4"/>
            </w:tcBorders>
            <w:shd w:fill="1E2A5A" w:val="clear"/>
            <w:tcMar>
              <w:top w:type="dxa" w:w="80"/>
              <w:left w:type="dxa" w:w="100"/>
              <w:bottom w:type="dxa" w:w="80"/>
              <w:right w:type="dxa" w:w="80"/>
            </w:tcMar>
            <w:vAlign w:val="center"/>
          </w:tcPr>
          <w:p>
            <w:pPr>
              <w:jc w:val="center"/>
            </w:pPr>
            <w:r>
              <w:rPr>
                <w:rFonts w:ascii="Calibri" w:cs="Calibri" w:eastAsia="Calibri" w:hAnsi="Calibri"/>
                <w:b/>
                <w:bCs/>
                <w:i w:val="false"/>
                <w:iCs w:val="false"/>
                <w:color w:val="FFFFFF"/>
                <w:sz w:val="20"/>
                <w:szCs w:val="20"/>
              </w:rPr>
              <w:t xml:space="preserve">Concepto</w:t>
            </w:r>
          </w:p>
        </w:tc>
        <w:tc>
          <w:tcPr>
            <w:tcW w:type="pct" w:w="24%"/>
            <w:tcBorders>
              <w:top w:val="single" w:color="CBD5E1" w:sz="4"/>
              <w:left w:val="single" w:color="CBD5E1" w:sz="4"/>
              <w:bottom w:val="single" w:color="CBD5E1" w:sz="4"/>
              <w:right w:val="single" w:color="CBD5E1" w:sz="4"/>
            </w:tcBorders>
            <w:shd w:fill="1E2A5A" w:val="clear"/>
            <w:tcMar>
              <w:top w:type="dxa" w:w="80"/>
              <w:left w:type="dxa" w:w="100"/>
              <w:bottom w:type="dxa" w:w="80"/>
              <w:right w:type="dxa" w:w="80"/>
            </w:tcMar>
            <w:vAlign w:val="center"/>
          </w:tcPr>
          <w:p>
            <w:pPr>
              <w:jc w:val="center"/>
            </w:pPr>
            <w:r>
              <w:rPr>
                <w:rFonts w:ascii="Calibri" w:cs="Calibri" w:eastAsia="Calibri" w:hAnsi="Calibri"/>
                <w:b/>
                <w:bCs/>
                <w:i w:val="false"/>
                <w:iCs w:val="false"/>
                <w:color w:val="FFFFFF"/>
                <w:sz w:val="20"/>
                <w:szCs w:val="20"/>
              </w:rPr>
              <w:t xml:space="preserve">Fórmula / Supuesto</w:t>
            </w:r>
          </w:p>
        </w:tc>
        <w:tc>
          <w:tcPr>
            <w:tcW w:type="pct" w:w="11%"/>
            <w:tcBorders>
              <w:top w:val="single" w:color="CBD5E1" w:sz="4"/>
              <w:left w:val="single" w:color="CBD5E1" w:sz="4"/>
              <w:bottom w:val="single" w:color="CBD5E1" w:sz="4"/>
              <w:right w:val="single" w:color="CBD5E1" w:sz="4"/>
            </w:tcBorders>
            <w:shd w:fill="1E2A5A" w:val="clear"/>
            <w:tcMar>
              <w:top w:type="dxa" w:w="80"/>
              <w:left w:type="dxa" w:w="100"/>
              <w:bottom w:type="dxa" w:w="80"/>
              <w:right w:type="dxa" w:w="80"/>
            </w:tcMar>
            <w:vAlign w:val="center"/>
          </w:tcPr>
          <w:p>
            <w:pPr>
              <w:jc w:val="center"/>
            </w:pPr>
            <w:r>
              <w:rPr>
                <w:rFonts w:ascii="Calibri" w:cs="Calibri" w:eastAsia="Calibri" w:hAnsi="Calibri"/>
                <w:b/>
                <w:bCs/>
                <w:i w:val="false"/>
                <w:iCs w:val="false"/>
                <w:color w:val="FFFFFF"/>
                <w:sz w:val="20"/>
                <w:szCs w:val="20"/>
              </w:rPr>
              <w:t xml:space="preserve">Año 1</w:t>
            </w:r>
          </w:p>
        </w:tc>
        <w:tc>
          <w:tcPr>
            <w:tcW w:type="pct" w:w="11%"/>
            <w:tcBorders>
              <w:top w:val="single" w:color="CBD5E1" w:sz="4"/>
              <w:left w:val="single" w:color="CBD5E1" w:sz="4"/>
              <w:bottom w:val="single" w:color="CBD5E1" w:sz="4"/>
              <w:right w:val="single" w:color="CBD5E1" w:sz="4"/>
            </w:tcBorders>
            <w:shd w:fill="1E2A5A" w:val="clear"/>
            <w:tcMar>
              <w:top w:type="dxa" w:w="80"/>
              <w:left w:type="dxa" w:w="100"/>
              <w:bottom w:type="dxa" w:w="80"/>
              <w:right w:type="dxa" w:w="80"/>
            </w:tcMar>
            <w:vAlign w:val="center"/>
          </w:tcPr>
          <w:p>
            <w:pPr>
              <w:jc w:val="center"/>
            </w:pPr>
            <w:r>
              <w:rPr>
                <w:rFonts w:ascii="Calibri" w:cs="Calibri" w:eastAsia="Calibri" w:hAnsi="Calibri"/>
                <w:b/>
                <w:bCs/>
                <w:i w:val="false"/>
                <w:iCs w:val="false"/>
                <w:color w:val="FFFFFF"/>
                <w:sz w:val="20"/>
                <w:szCs w:val="20"/>
              </w:rPr>
              <w:t xml:space="preserve">Año 2</w:t>
            </w:r>
          </w:p>
        </w:tc>
        <w:tc>
          <w:tcPr>
            <w:tcW w:type="pct" w:w="11%"/>
            <w:tcBorders>
              <w:top w:val="single" w:color="CBD5E1" w:sz="4"/>
              <w:left w:val="single" w:color="CBD5E1" w:sz="4"/>
              <w:bottom w:val="single" w:color="CBD5E1" w:sz="4"/>
              <w:right w:val="single" w:color="CBD5E1" w:sz="4"/>
            </w:tcBorders>
            <w:shd w:fill="1E2A5A" w:val="clear"/>
            <w:tcMar>
              <w:top w:type="dxa" w:w="80"/>
              <w:left w:type="dxa" w:w="100"/>
              <w:bottom w:type="dxa" w:w="80"/>
              <w:right w:type="dxa" w:w="80"/>
            </w:tcMar>
            <w:vAlign w:val="center"/>
          </w:tcPr>
          <w:p>
            <w:pPr>
              <w:jc w:val="center"/>
            </w:pPr>
            <w:r>
              <w:rPr>
                <w:rFonts w:ascii="Calibri" w:cs="Calibri" w:eastAsia="Calibri" w:hAnsi="Calibri"/>
                <w:b/>
                <w:bCs/>
                <w:i w:val="false"/>
                <w:iCs w:val="false"/>
                <w:color w:val="FFFFFF"/>
                <w:sz w:val="20"/>
                <w:szCs w:val="20"/>
              </w:rPr>
              <w:t xml:space="preserve">Año 3</w:t>
            </w:r>
          </w:p>
        </w:tc>
        <w:tc>
          <w:tcPr>
            <w:tcW w:type="pct" w:w="11%"/>
            <w:tcBorders>
              <w:top w:val="single" w:color="CBD5E1" w:sz="4"/>
              <w:left w:val="single" w:color="CBD5E1" w:sz="4"/>
              <w:bottom w:val="single" w:color="CBD5E1" w:sz="4"/>
              <w:right w:val="single" w:color="CBD5E1" w:sz="4"/>
            </w:tcBorders>
            <w:shd w:fill="1E2A5A" w:val="clear"/>
            <w:tcMar>
              <w:top w:type="dxa" w:w="80"/>
              <w:left w:type="dxa" w:w="100"/>
              <w:bottom w:type="dxa" w:w="80"/>
              <w:right w:type="dxa" w:w="80"/>
            </w:tcMar>
            <w:vAlign w:val="center"/>
          </w:tcPr>
          <w:p>
            <w:pPr>
              <w:jc w:val="center"/>
            </w:pPr>
            <w:r>
              <w:rPr>
                <w:rFonts w:ascii="Calibri" w:cs="Calibri" w:eastAsia="Calibri" w:hAnsi="Calibri"/>
                <w:b/>
                <w:bCs/>
                <w:i w:val="false"/>
                <w:iCs w:val="false"/>
                <w:color w:val="FFFFFF"/>
                <w:sz w:val="20"/>
                <w:szCs w:val="20"/>
              </w:rPr>
              <w:t xml:space="preserve">Año 4</w:t>
            </w:r>
          </w:p>
        </w:tc>
        <w:tc>
          <w:tcPr>
            <w:tcW w:type="pct" w:w="10%"/>
            <w:tcBorders>
              <w:top w:val="single" w:color="CBD5E1" w:sz="4"/>
              <w:left w:val="single" w:color="CBD5E1" w:sz="4"/>
              <w:bottom w:val="single" w:color="CBD5E1" w:sz="4"/>
              <w:right w:val="single" w:color="CBD5E1" w:sz="4"/>
            </w:tcBorders>
            <w:shd w:fill="1E2A5A" w:val="clear"/>
            <w:tcMar>
              <w:top w:type="dxa" w:w="80"/>
              <w:left w:type="dxa" w:w="100"/>
              <w:bottom w:type="dxa" w:w="80"/>
              <w:right w:type="dxa" w:w="80"/>
            </w:tcMar>
            <w:vAlign w:val="center"/>
          </w:tcPr>
          <w:p>
            <w:pPr>
              <w:jc w:val="center"/>
            </w:pPr>
            <w:r>
              <w:rPr>
                <w:rFonts w:ascii="Calibri" w:cs="Calibri" w:eastAsia="Calibri" w:hAnsi="Calibri"/>
                <w:b/>
                <w:bCs/>
                <w:i w:val="false"/>
                <w:iCs w:val="false"/>
                <w:color w:val="FFFFFF"/>
                <w:sz w:val="20"/>
                <w:szCs w:val="20"/>
              </w:rPr>
              <w:t xml:space="preserve">Año 5</w:t>
            </w:r>
          </w:p>
        </w:tc>
      </w:tr>
      <w:tr>
        <w:tc>
          <w:tcPr>
            <w:tcW w:type="pct" w:w="22%"/>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Gastos de administración (gerencia + asesoría legal/contable)</w:t>
            </w:r>
          </w:p>
        </w:tc>
        <w:tc>
          <w:tcPr>
            <w:tcW w:type="pct" w:w="24%"/>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Personal directivo × salario/mes × 12 + asesorías</w:t>
            </w:r>
          </w:p>
        </w:tc>
        <w:tc>
          <w:tcPr>
            <w:tcW w:type="pct" w:w="11%"/>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$90.000.000</w:t>
            </w:r>
          </w:p>
        </w:tc>
        <w:tc>
          <w:tcPr>
            <w:tcW w:type="pct" w:w="11%"/>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$95.400.000</w:t>
            </w:r>
          </w:p>
        </w:tc>
        <w:tc>
          <w:tcPr>
            <w:tcW w:type="pct" w:w="11%"/>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$105.000.000</w:t>
            </w:r>
          </w:p>
        </w:tc>
        <w:tc>
          <w:tcPr>
            <w:tcW w:type="pct" w:w="11%"/>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$120.000.000</w:t>
            </w:r>
          </w:p>
        </w:tc>
        <w:tc>
          <w:tcPr>
            <w:tcW w:type="pct" w:w="10%"/>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$140.000.000</w:t>
            </w:r>
          </w:p>
        </w:tc>
      </w:tr>
      <w:tr>
        <w:tc>
          <w:tcPr>
            <w:tcW w:type="pct" w:w="22%"/>
            <w:tcBorders>
              <w:top w:val="single" w:color="CBD5E1" w:sz="4"/>
              <w:left w:val="single" w:color="CBD5E1" w:sz="4"/>
              <w:bottom w:val="single" w:color="CBD5E1" w:sz="4"/>
              <w:right w:val="single" w:color="CBD5E1" w:sz="4"/>
            </w:tcBorders>
            <w:shd w:fill="F8FAFC"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Gastos de ventas (ejecutivos comerciales + pauta digital)</w:t>
            </w:r>
          </w:p>
        </w:tc>
        <w:tc>
          <w:tcPr>
            <w:tcW w:type="pct" w:w="24%"/>
            <w:tcBorders>
              <w:top w:val="single" w:color="CBD5E1" w:sz="4"/>
              <w:left w:val="single" w:color="CBD5E1" w:sz="4"/>
              <w:bottom w:val="single" w:color="CBD5E1" w:sz="4"/>
              <w:right w:val="single" w:color="CBD5E1" w:sz="4"/>
            </w:tcBorders>
            <w:shd w:fill="F8FAFC"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Nómina comercial + presupuesto de pauta y eventos</w:t>
            </w:r>
          </w:p>
        </w:tc>
        <w:tc>
          <w:tcPr>
            <w:tcW w:type="pct" w:w="11%"/>
            <w:tcBorders>
              <w:top w:val="single" w:color="CBD5E1" w:sz="4"/>
              <w:left w:val="single" w:color="CBD5E1" w:sz="4"/>
              <w:bottom w:val="single" w:color="CBD5E1" w:sz="4"/>
              <w:right w:val="single" w:color="CBD5E1" w:sz="4"/>
            </w:tcBorders>
            <w:shd w:fill="F8FAFC"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$21.000.000</w:t>
            </w:r>
          </w:p>
        </w:tc>
        <w:tc>
          <w:tcPr>
            <w:tcW w:type="pct" w:w="11%"/>
            <w:tcBorders>
              <w:top w:val="single" w:color="CBD5E1" w:sz="4"/>
              <w:left w:val="single" w:color="CBD5E1" w:sz="4"/>
              <w:bottom w:val="single" w:color="CBD5E1" w:sz="4"/>
              <w:right w:val="single" w:color="CBD5E1" w:sz="4"/>
            </w:tcBorders>
            <w:shd w:fill="F8FAFC"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$25.200.000</w:t>
            </w:r>
          </w:p>
        </w:tc>
        <w:tc>
          <w:tcPr>
            <w:tcW w:type="pct" w:w="11%"/>
            <w:tcBorders>
              <w:top w:val="single" w:color="CBD5E1" w:sz="4"/>
              <w:left w:val="single" w:color="CBD5E1" w:sz="4"/>
              <w:bottom w:val="single" w:color="CBD5E1" w:sz="4"/>
              <w:right w:val="single" w:color="CBD5E1" w:sz="4"/>
            </w:tcBorders>
            <w:shd w:fill="F8FAFC"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$36.000.000</w:t>
            </w:r>
          </w:p>
        </w:tc>
        <w:tc>
          <w:tcPr>
            <w:tcW w:type="pct" w:w="11%"/>
            <w:tcBorders>
              <w:top w:val="single" w:color="CBD5E1" w:sz="4"/>
              <w:left w:val="single" w:color="CBD5E1" w:sz="4"/>
              <w:bottom w:val="single" w:color="CBD5E1" w:sz="4"/>
              <w:right w:val="single" w:color="CBD5E1" w:sz="4"/>
            </w:tcBorders>
            <w:shd w:fill="F8FAFC"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$52.000.000</w:t>
            </w:r>
          </w:p>
        </w:tc>
        <w:tc>
          <w:tcPr>
            <w:tcW w:type="pct" w:w="10%"/>
            <w:tcBorders>
              <w:top w:val="single" w:color="CBD5E1" w:sz="4"/>
              <w:left w:val="single" w:color="CBD5E1" w:sz="4"/>
              <w:bottom w:val="single" w:color="CBD5E1" w:sz="4"/>
              <w:right w:val="single" w:color="CBD5E1" w:sz="4"/>
            </w:tcBorders>
            <w:shd w:fill="F8FAFC"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$72.000.000</w:t>
            </w:r>
          </w:p>
        </w:tc>
      </w:tr>
      <w:tr>
        <w:tc>
          <w:tcPr>
            <w:tcW w:type="pct" w:w="22%"/>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TOTAL GASTOS</w:t>
            </w:r>
          </w:p>
        </w:tc>
        <w:tc>
          <w:tcPr>
            <w:tcW w:type="pct" w:w="24%"/>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 Gadmin + Gventa</w:t>
            </w:r>
          </w:p>
        </w:tc>
        <w:tc>
          <w:tcPr>
            <w:tcW w:type="pct" w:w="11%"/>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$111.000.000</w:t>
            </w:r>
          </w:p>
        </w:tc>
        <w:tc>
          <w:tcPr>
            <w:tcW w:type="pct" w:w="11%"/>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$120.600.000</w:t>
            </w:r>
          </w:p>
        </w:tc>
        <w:tc>
          <w:tcPr>
            <w:tcW w:type="pct" w:w="11%"/>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$141.000.000</w:t>
            </w:r>
          </w:p>
        </w:tc>
        <w:tc>
          <w:tcPr>
            <w:tcW w:type="pct" w:w="11%"/>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$172.000.000</w:t>
            </w:r>
          </w:p>
        </w:tc>
        <w:tc>
          <w:tcPr>
            <w:tcW w:type="pct" w:w="10%"/>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$212.000.000</w:t>
            </w:r>
          </w:p>
        </w:tc>
      </w:tr>
    </w:tbl>
    <w:p>
      <w:pPr>
        <w:pStyle w:val="Heading2"/>
        <w:spacing w:after="120" w:before="280"/>
      </w:pPr>
      <w:r>
        <w:rPr>
          <w:rFonts w:ascii="Calibri" w:cs="Calibri" w:eastAsia="Calibri" w:hAnsi="Calibri"/>
          <w:b/>
          <w:bCs/>
          <w:i w:val="false"/>
          <w:iCs w:val="false"/>
          <w:color w:val="0284C7"/>
          <w:sz w:val="24"/>
          <w:szCs w:val="24"/>
        </w:rPr>
        <w:t xml:space="preserve">9.7 ESTADOS FINANCIEROS PROYECTADOS</w:t>
      </w:r>
    </w:p>
    <w:p>
      <w:pPr>
        <w:pStyle w:val="Heading3"/>
        <w:spacing w:after="80" w:before="200"/>
      </w:pPr>
      <w:r>
        <w:rPr>
          <w:rFonts w:ascii="Calibri" w:cs="Calibri" w:eastAsia="Calibri" w:hAnsi="Calibri"/>
          <w:b/>
          <w:bCs/>
          <w:i w:val="false"/>
          <w:iCs w:val="false"/>
          <w:color w:val="0F172A"/>
          <w:sz w:val="22"/>
          <w:szCs w:val="22"/>
        </w:rPr>
        <w:t xml:space="preserve">Estado de Resultados (COP)</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tblGrid>
      <w:tr>
        <w:trPr>
          <w:tblHeader/>
        </w:trPr>
        <w:tc>
          <w:tcPr>
            <w:tcW w:type="pct" w:w="28%"/>
            <w:tcBorders>
              <w:top w:val="single" w:color="CBD5E1" w:sz="4"/>
              <w:left w:val="single" w:color="CBD5E1" w:sz="4"/>
              <w:bottom w:val="single" w:color="CBD5E1" w:sz="4"/>
              <w:right w:val="single" w:color="CBD5E1" w:sz="4"/>
            </w:tcBorders>
            <w:shd w:fill="1E2A5A" w:val="clear"/>
            <w:tcMar>
              <w:top w:type="dxa" w:w="80"/>
              <w:left w:type="dxa" w:w="100"/>
              <w:bottom w:type="dxa" w:w="80"/>
              <w:right w:type="dxa" w:w="80"/>
            </w:tcMar>
            <w:vAlign w:val="center"/>
          </w:tcPr>
          <w:p>
            <w:pPr>
              <w:jc w:val="center"/>
            </w:pPr>
            <w:r>
              <w:rPr>
                <w:rFonts w:ascii="Calibri" w:cs="Calibri" w:eastAsia="Calibri" w:hAnsi="Calibri"/>
                <w:b/>
                <w:bCs/>
                <w:i w:val="false"/>
                <w:iCs w:val="false"/>
                <w:color w:val="FFFFFF"/>
                <w:sz w:val="20"/>
                <w:szCs w:val="20"/>
              </w:rPr>
              <w:t xml:space="preserve">Rubro</w:t>
            </w:r>
          </w:p>
        </w:tc>
        <w:tc>
          <w:tcPr>
            <w:tcW w:type="pct" w:w="15%"/>
            <w:tcBorders>
              <w:top w:val="single" w:color="CBD5E1" w:sz="4"/>
              <w:left w:val="single" w:color="CBD5E1" w:sz="4"/>
              <w:bottom w:val="single" w:color="CBD5E1" w:sz="4"/>
              <w:right w:val="single" w:color="CBD5E1" w:sz="4"/>
            </w:tcBorders>
            <w:shd w:fill="1E2A5A" w:val="clear"/>
            <w:tcMar>
              <w:top w:type="dxa" w:w="80"/>
              <w:left w:type="dxa" w:w="100"/>
              <w:bottom w:type="dxa" w:w="80"/>
              <w:right w:type="dxa" w:w="80"/>
            </w:tcMar>
            <w:vAlign w:val="center"/>
          </w:tcPr>
          <w:p>
            <w:pPr>
              <w:jc w:val="center"/>
            </w:pPr>
            <w:r>
              <w:rPr>
                <w:rFonts w:ascii="Calibri" w:cs="Calibri" w:eastAsia="Calibri" w:hAnsi="Calibri"/>
                <w:b/>
                <w:bCs/>
                <w:i w:val="false"/>
                <w:iCs w:val="false"/>
                <w:color w:val="FFFFFF"/>
                <w:sz w:val="20"/>
                <w:szCs w:val="20"/>
              </w:rPr>
              <w:t xml:space="preserve">Año 1</w:t>
            </w:r>
          </w:p>
        </w:tc>
        <w:tc>
          <w:tcPr>
            <w:tcW w:type="pct" w:w="15%"/>
            <w:tcBorders>
              <w:top w:val="single" w:color="CBD5E1" w:sz="4"/>
              <w:left w:val="single" w:color="CBD5E1" w:sz="4"/>
              <w:bottom w:val="single" w:color="CBD5E1" w:sz="4"/>
              <w:right w:val="single" w:color="CBD5E1" w:sz="4"/>
            </w:tcBorders>
            <w:shd w:fill="1E2A5A" w:val="clear"/>
            <w:tcMar>
              <w:top w:type="dxa" w:w="80"/>
              <w:left w:type="dxa" w:w="100"/>
              <w:bottom w:type="dxa" w:w="80"/>
              <w:right w:type="dxa" w:w="80"/>
            </w:tcMar>
            <w:vAlign w:val="center"/>
          </w:tcPr>
          <w:p>
            <w:pPr>
              <w:jc w:val="center"/>
            </w:pPr>
            <w:r>
              <w:rPr>
                <w:rFonts w:ascii="Calibri" w:cs="Calibri" w:eastAsia="Calibri" w:hAnsi="Calibri"/>
                <w:b/>
                <w:bCs/>
                <w:i w:val="false"/>
                <w:iCs w:val="false"/>
                <w:color w:val="FFFFFF"/>
                <w:sz w:val="20"/>
                <w:szCs w:val="20"/>
              </w:rPr>
              <w:t xml:space="preserve">Año 2</w:t>
            </w:r>
          </w:p>
        </w:tc>
        <w:tc>
          <w:tcPr>
            <w:tcW w:type="pct" w:w="14%"/>
            <w:tcBorders>
              <w:top w:val="single" w:color="CBD5E1" w:sz="4"/>
              <w:left w:val="single" w:color="CBD5E1" w:sz="4"/>
              <w:bottom w:val="single" w:color="CBD5E1" w:sz="4"/>
              <w:right w:val="single" w:color="CBD5E1" w:sz="4"/>
            </w:tcBorders>
            <w:shd w:fill="1E2A5A" w:val="clear"/>
            <w:tcMar>
              <w:top w:type="dxa" w:w="80"/>
              <w:left w:type="dxa" w:w="100"/>
              <w:bottom w:type="dxa" w:w="80"/>
              <w:right w:type="dxa" w:w="80"/>
            </w:tcMar>
            <w:vAlign w:val="center"/>
          </w:tcPr>
          <w:p>
            <w:pPr>
              <w:jc w:val="center"/>
            </w:pPr>
            <w:r>
              <w:rPr>
                <w:rFonts w:ascii="Calibri" w:cs="Calibri" w:eastAsia="Calibri" w:hAnsi="Calibri"/>
                <w:b/>
                <w:bCs/>
                <w:i w:val="false"/>
                <w:iCs w:val="false"/>
                <w:color w:val="FFFFFF"/>
                <w:sz w:val="20"/>
                <w:szCs w:val="20"/>
              </w:rPr>
              <w:t xml:space="preserve">Año 3</w:t>
            </w:r>
          </w:p>
        </w:tc>
        <w:tc>
          <w:tcPr>
            <w:tcW w:type="pct" w:w="14%"/>
            <w:tcBorders>
              <w:top w:val="single" w:color="CBD5E1" w:sz="4"/>
              <w:left w:val="single" w:color="CBD5E1" w:sz="4"/>
              <w:bottom w:val="single" w:color="CBD5E1" w:sz="4"/>
              <w:right w:val="single" w:color="CBD5E1" w:sz="4"/>
            </w:tcBorders>
            <w:shd w:fill="1E2A5A" w:val="clear"/>
            <w:tcMar>
              <w:top w:type="dxa" w:w="80"/>
              <w:left w:type="dxa" w:w="100"/>
              <w:bottom w:type="dxa" w:w="80"/>
              <w:right w:type="dxa" w:w="80"/>
            </w:tcMar>
            <w:vAlign w:val="center"/>
          </w:tcPr>
          <w:p>
            <w:pPr>
              <w:jc w:val="center"/>
            </w:pPr>
            <w:r>
              <w:rPr>
                <w:rFonts w:ascii="Calibri" w:cs="Calibri" w:eastAsia="Calibri" w:hAnsi="Calibri"/>
                <w:b/>
                <w:bCs/>
                <w:i w:val="false"/>
                <w:iCs w:val="false"/>
                <w:color w:val="FFFFFF"/>
                <w:sz w:val="20"/>
                <w:szCs w:val="20"/>
              </w:rPr>
              <w:t xml:space="preserve">Año 4</w:t>
            </w:r>
          </w:p>
        </w:tc>
        <w:tc>
          <w:tcPr>
            <w:tcW w:type="pct" w:w="14%"/>
            <w:tcBorders>
              <w:top w:val="single" w:color="CBD5E1" w:sz="4"/>
              <w:left w:val="single" w:color="CBD5E1" w:sz="4"/>
              <w:bottom w:val="single" w:color="CBD5E1" w:sz="4"/>
              <w:right w:val="single" w:color="CBD5E1" w:sz="4"/>
            </w:tcBorders>
            <w:shd w:fill="1E2A5A" w:val="clear"/>
            <w:tcMar>
              <w:top w:type="dxa" w:w="80"/>
              <w:left w:type="dxa" w:w="100"/>
              <w:bottom w:type="dxa" w:w="80"/>
              <w:right w:type="dxa" w:w="80"/>
            </w:tcMar>
            <w:vAlign w:val="center"/>
          </w:tcPr>
          <w:p>
            <w:pPr>
              <w:jc w:val="center"/>
            </w:pPr>
            <w:r>
              <w:rPr>
                <w:rFonts w:ascii="Calibri" w:cs="Calibri" w:eastAsia="Calibri" w:hAnsi="Calibri"/>
                <w:b/>
                <w:bCs/>
                <w:i w:val="false"/>
                <w:iCs w:val="false"/>
                <w:color w:val="FFFFFF"/>
                <w:sz w:val="20"/>
                <w:szCs w:val="20"/>
              </w:rPr>
              <w:t xml:space="preserve">Año 5</w:t>
            </w:r>
          </w:p>
        </w:tc>
      </w:tr>
      <w:tr>
        <w:tc>
          <w:tcPr>
            <w:tcW w:type="pct" w:w="28%"/>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 Ingresos operacionales</w:t>
            </w:r>
          </w:p>
        </w:tc>
        <w:tc>
          <w:tcPr>
            <w:tcW w:type="pct" w:w="15%"/>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$157.001.000</w:t>
            </w:r>
          </w:p>
        </w:tc>
        <w:tc>
          <w:tcPr>
            <w:tcW w:type="pct" w:w="15%"/>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$247.860.000</w:t>
            </w:r>
          </w:p>
        </w:tc>
        <w:tc>
          <w:tcPr>
            <w:tcW w:type="pct" w:w="14%"/>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$371.790.000</w:t>
            </w:r>
          </w:p>
        </w:tc>
        <w:tc>
          <w:tcPr>
            <w:tcW w:type="pct" w:w="14%"/>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$468.180.000</w:t>
            </w:r>
          </w:p>
        </w:tc>
        <w:tc>
          <w:tcPr>
            <w:tcW w:type="pct" w:w="14%"/>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$550.800.000</w:t>
            </w:r>
          </w:p>
        </w:tc>
      </w:tr>
      <w:tr>
        <w:tc>
          <w:tcPr>
            <w:tcW w:type="pct" w:w="28%"/>
            <w:tcBorders>
              <w:top w:val="single" w:color="CBD5E1" w:sz="4"/>
              <w:left w:val="single" w:color="CBD5E1" w:sz="4"/>
              <w:bottom w:val="single" w:color="CBD5E1" w:sz="4"/>
              <w:right w:val="single" w:color="CBD5E1" w:sz="4"/>
            </w:tcBorders>
            <w:shd w:fill="F8FAFC"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 Costos del servicio</w:t>
            </w:r>
          </w:p>
        </w:tc>
        <w:tc>
          <w:tcPr>
            <w:tcW w:type="pct" w:w="15%"/>
            <w:tcBorders>
              <w:top w:val="single" w:color="CBD5E1" w:sz="4"/>
              <w:left w:val="single" w:color="CBD5E1" w:sz="4"/>
              <w:bottom w:val="single" w:color="CBD5E1" w:sz="4"/>
              <w:right w:val="single" w:color="CBD5E1" w:sz="4"/>
            </w:tcBorders>
            <w:shd w:fill="F8FAFC"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$43.897.534</w:t>
            </w:r>
          </w:p>
        </w:tc>
        <w:tc>
          <w:tcPr>
            <w:tcW w:type="pct" w:w="15%"/>
            <w:tcBorders>
              <w:top w:val="single" w:color="CBD5E1" w:sz="4"/>
              <w:left w:val="single" w:color="CBD5E1" w:sz="4"/>
              <w:bottom w:val="single" w:color="CBD5E1" w:sz="4"/>
              <w:right w:val="single" w:color="CBD5E1" w:sz="4"/>
            </w:tcBorders>
            <w:shd w:fill="F8FAFC"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$51.700.000</w:t>
            </w:r>
          </w:p>
        </w:tc>
        <w:tc>
          <w:tcPr>
            <w:tcW w:type="pct" w:w="14%"/>
            <w:tcBorders>
              <w:top w:val="single" w:color="CBD5E1" w:sz="4"/>
              <w:left w:val="single" w:color="CBD5E1" w:sz="4"/>
              <w:bottom w:val="single" w:color="CBD5E1" w:sz="4"/>
              <w:right w:val="single" w:color="CBD5E1" w:sz="4"/>
            </w:tcBorders>
            <w:shd w:fill="F8FAFC"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$80.500.000</w:t>
            </w:r>
          </w:p>
        </w:tc>
        <w:tc>
          <w:tcPr>
            <w:tcW w:type="pct" w:w="14%"/>
            <w:tcBorders>
              <w:top w:val="single" w:color="CBD5E1" w:sz="4"/>
              <w:left w:val="single" w:color="CBD5E1" w:sz="4"/>
              <w:bottom w:val="single" w:color="CBD5E1" w:sz="4"/>
              <w:right w:val="single" w:color="CBD5E1" w:sz="4"/>
            </w:tcBorders>
            <w:shd w:fill="F8FAFC"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$118.500.000</w:t>
            </w:r>
          </w:p>
        </w:tc>
        <w:tc>
          <w:tcPr>
            <w:tcW w:type="pct" w:w="14%"/>
            <w:tcBorders>
              <w:top w:val="single" w:color="CBD5E1" w:sz="4"/>
              <w:left w:val="single" w:color="CBD5E1" w:sz="4"/>
              <w:bottom w:val="single" w:color="CBD5E1" w:sz="4"/>
              <w:right w:val="single" w:color="CBD5E1" w:sz="4"/>
            </w:tcBorders>
            <w:shd w:fill="F8FAFC"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$158.000.000</w:t>
            </w:r>
          </w:p>
        </w:tc>
      </w:tr>
      <w:tr>
        <w:tc>
          <w:tcPr>
            <w:tcW w:type="pct" w:w="28%"/>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 Utilidad bruta</w:t>
            </w:r>
          </w:p>
        </w:tc>
        <w:tc>
          <w:tcPr>
            <w:tcW w:type="pct" w:w="15%"/>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$113.103.466</w:t>
            </w:r>
          </w:p>
        </w:tc>
        <w:tc>
          <w:tcPr>
            <w:tcW w:type="pct" w:w="15%"/>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$196.160.000</w:t>
            </w:r>
          </w:p>
        </w:tc>
        <w:tc>
          <w:tcPr>
            <w:tcW w:type="pct" w:w="14%"/>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$291.290.000</w:t>
            </w:r>
          </w:p>
        </w:tc>
        <w:tc>
          <w:tcPr>
            <w:tcW w:type="pct" w:w="14%"/>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$349.680.000</w:t>
            </w:r>
          </w:p>
        </w:tc>
        <w:tc>
          <w:tcPr>
            <w:tcW w:type="pct" w:w="14%"/>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$392.800.000</w:t>
            </w:r>
          </w:p>
        </w:tc>
      </w:tr>
      <w:tr>
        <w:tc>
          <w:tcPr>
            <w:tcW w:type="pct" w:w="28%"/>
            <w:tcBorders>
              <w:top w:val="single" w:color="CBD5E1" w:sz="4"/>
              <w:left w:val="single" w:color="CBD5E1" w:sz="4"/>
              <w:bottom w:val="single" w:color="CBD5E1" w:sz="4"/>
              <w:right w:val="single" w:color="CBD5E1" w:sz="4"/>
            </w:tcBorders>
            <w:shd w:fill="F8FAFC"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 Gastos de operación</w:t>
            </w:r>
          </w:p>
        </w:tc>
        <w:tc>
          <w:tcPr>
            <w:tcW w:type="pct" w:w="15%"/>
            <w:tcBorders>
              <w:top w:val="single" w:color="CBD5E1" w:sz="4"/>
              <w:left w:val="single" w:color="CBD5E1" w:sz="4"/>
              <w:bottom w:val="single" w:color="CBD5E1" w:sz="4"/>
              <w:right w:val="single" w:color="CBD5E1" w:sz="4"/>
            </w:tcBorders>
            <w:shd w:fill="F8FAFC"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$111.000.000</w:t>
            </w:r>
          </w:p>
        </w:tc>
        <w:tc>
          <w:tcPr>
            <w:tcW w:type="pct" w:w="15%"/>
            <w:tcBorders>
              <w:top w:val="single" w:color="CBD5E1" w:sz="4"/>
              <w:left w:val="single" w:color="CBD5E1" w:sz="4"/>
              <w:bottom w:val="single" w:color="CBD5E1" w:sz="4"/>
              <w:right w:val="single" w:color="CBD5E1" w:sz="4"/>
            </w:tcBorders>
            <w:shd w:fill="F8FAFC"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$120.600.000</w:t>
            </w:r>
          </w:p>
        </w:tc>
        <w:tc>
          <w:tcPr>
            <w:tcW w:type="pct" w:w="14%"/>
            <w:tcBorders>
              <w:top w:val="single" w:color="CBD5E1" w:sz="4"/>
              <w:left w:val="single" w:color="CBD5E1" w:sz="4"/>
              <w:bottom w:val="single" w:color="CBD5E1" w:sz="4"/>
              <w:right w:val="single" w:color="CBD5E1" w:sz="4"/>
            </w:tcBorders>
            <w:shd w:fill="F8FAFC"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$141.000.000</w:t>
            </w:r>
          </w:p>
        </w:tc>
        <w:tc>
          <w:tcPr>
            <w:tcW w:type="pct" w:w="14%"/>
            <w:tcBorders>
              <w:top w:val="single" w:color="CBD5E1" w:sz="4"/>
              <w:left w:val="single" w:color="CBD5E1" w:sz="4"/>
              <w:bottom w:val="single" w:color="CBD5E1" w:sz="4"/>
              <w:right w:val="single" w:color="CBD5E1" w:sz="4"/>
            </w:tcBorders>
            <w:shd w:fill="F8FAFC"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$172.000.000</w:t>
            </w:r>
          </w:p>
        </w:tc>
        <w:tc>
          <w:tcPr>
            <w:tcW w:type="pct" w:w="14%"/>
            <w:tcBorders>
              <w:top w:val="single" w:color="CBD5E1" w:sz="4"/>
              <w:left w:val="single" w:color="CBD5E1" w:sz="4"/>
              <w:bottom w:val="single" w:color="CBD5E1" w:sz="4"/>
              <w:right w:val="single" w:color="CBD5E1" w:sz="4"/>
            </w:tcBorders>
            <w:shd w:fill="F8FAFC"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$212.000.000</w:t>
            </w:r>
          </w:p>
        </w:tc>
      </w:tr>
      <w:tr>
        <w:tc>
          <w:tcPr>
            <w:tcW w:type="pct" w:w="28%"/>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 Utilidad operativa (EBITDA)</w:t>
            </w:r>
          </w:p>
        </w:tc>
        <w:tc>
          <w:tcPr>
            <w:tcW w:type="pct" w:w="15%"/>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$2.103.466</w:t>
            </w:r>
          </w:p>
        </w:tc>
        <w:tc>
          <w:tcPr>
            <w:tcW w:type="pct" w:w="15%"/>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$75.560.000</w:t>
            </w:r>
          </w:p>
        </w:tc>
        <w:tc>
          <w:tcPr>
            <w:tcW w:type="pct" w:w="14%"/>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$150.290.000</w:t>
            </w:r>
          </w:p>
        </w:tc>
        <w:tc>
          <w:tcPr>
            <w:tcW w:type="pct" w:w="14%"/>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$177.680.000</w:t>
            </w:r>
          </w:p>
        </w:tc>
        <w:tc>
          <w:tcPr>
            <w:tcW w:type="pct" w:w="14%"/>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$180.800.000</w:t>
            </w:r>
          </w:p>
        </w:tc>
      </w:tr>
      <w:tr>
        <w:tc>
          <w:tcPr>
            <w:tcW w:type="pct" w:w="28%"/>
            <w:tcBorders>
              <w:top w:val="single" w:color="CBD5E1" w:sz="4"/>
              <w:left w:val="single" w:color="CBD5E1" w:sz="4"/>
              <w:bottom w:val="single" w:color="CBD5E1" w:sz="4"/>
              <w:right w:val="single" w:color="CBD5E1" w:sz="4"/>
            </w:tcBorders>
            <w:shd w:fill="F8FAFC"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 Depreciación de activos</w:t>
            </w:r>
          </w:p>
        </w:tc>
        <w:tc>
          <w:tcPr>
            <w:tcW w:type="pct" w:w="15%"/>
            <w:tcBorders>
              <w:top w:val="single" w:color="CBD5E1" w:sz="4"/>
              <w:left w:val="single" w:color="CBD5E1" w:sz="4"/>
              <w:bottom w:val="single" w:color="CBD5E1" w:sz="4"/>
              <w:right w:val="single" w:color="CBD5E1" w:sz="4"/>
            </w:tcBorders>
            <w:shd w:fill="F8FAFC"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$1.991.786</w:t>
            </w:r>
          </w:p>
        </w:tc>
        <w:tc>
          <w:tcPr>
            <w:tcW w:type="pct" w:w="15%"/>
            <w:tcBorders>
              <w:top w:val="single" w:color="CBD5E1" w:sz="4"/>
              <w:left w:val="single" w:color="CBD5E1" w:sz="4"/>
              <w:bottom w:val="single" w:color="CBD5E1" w:sz="4"/>
              <w:right w:val="single" w:color="CBD5E1" w:sz="4"/>
            </w:tcBorders>
            <w:shd w:fill="F8FAFC"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$1.991.786</w:t>
            </w:r>
          </w:p>
        </w:tc>
        <w:tc>
          <w:tcPr>
            <w:tcW w:type="pct" w:w="14%"/>
            <w:tcBorders>
              <w:top w:val="single" w:color="CBD5E1" w:sz="4"/>
              <w:left w:val="single" w:color="CBD5E1" w:sz="4"/>
              <w:bottom w:val="single" w:color="CBD5E1" w:sz="4"/>
              <w:right w:val="single" w:color="CBD5E1" w:sz="4"/>
            </w:tcBorders>
            <w:shd w:fill="F8FAFC"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$1.991.786</w:t>
            </w:r>
          </w:p>
        </w:tc>
        <w:tc>
          <w:tcPr>
            <w:tcW w:type="pct" w:w="14%"/>
            <w:tcBorders>
              <w:top w:val="single" w:color="CBD5E1" w:sz="4"/>
              <w:left w:val="single" w:color="CBD5E1" w:sz="4"/>
              <w:bottom w:val="single" w:color="CBD5E1" w:sz="4"/>
              <w:right w:val="single" w:color="CBD5E1" w:sz="4"/>
            </w:tcBorders>
            <w:shd w:fill="F8FAFC"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$1.991.786</w:t>
            </w:r>
          </w:p>
        </w:tc>
        <w:tc>
          <w:tcPr>
            <w:tcW w:type="pct" w:w="14%"/>
            <w:tcBorders>
              <w:top w:val="single" w:color="CBD5E1" w:sz="4"/>
              <w:left w:val="single" w:color="CBD5E1" w:sz="4"/>
              <w:bottom w:val="single" w:color="CBD5E1" w:sz="4"/>
              <w:right w:val="single" w:color="CBD5E1" w:sz="4"/>
            </w:tcBorders>
            <w:shd w:fill="F8FAFC"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$1.991.786</w:t>
            </w:r>
          </w:p>
        </w:tc>
      </w:tr>
      <w:tr>
        <w:tc>
          <w:tcPr>
            <w:tcW w:type="pct" w:w="28%"/>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 Impuesto de renta 35%</w:t>
            </w:r>
          </w:p>
        </w:tc>
        <w:tc>
          <w:tcPr>
            <w:tcW w:type="pct" w:w="15%"/>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$39.088</w:t>
            </w:r>
          </w:p>
        </w:tc>
        <w:tc>
          <w:tcPr>
            <w:tcW w:type="pct" w:w="15%"/>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$25.748.875</w:t>
            </w:r>
          </w:p>
        </w:tc>
        <w:tc>
          <w:tcPr>
            <w:tcW w:type="pct" w:w="14%"/>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$51.904.375</w:t>
            </w:r>
          </w:p>
        </w:tc>
        <w:tc>
          <w:tcPr>
            <w:tcW w:type="pct" w:w="14%"/>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$61.490.875</w:t>
            </w:r>
          </w:p>
        </w:tc>
        <w:tc>
          <w:tcPr>
            <w:tcW w:type="pct" w:w="14%"/>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$62.582.875</w:t>
            </w:r>
          </w:p>
        </w:tc>
      </w:tr>
      <w:tr>
        <w:tc>
          <w:tcPr>
            <w:tcW w:type="pct" w:w="28%"/>
            <w:tcBorders>
              <w:top w:val="single" w:color="CBD5E1" w:sz="4"/>
              <w:left w:val="single" w:color="CBD5E1" w:sz="4"/>
              <w:bottom w:val="single" w:color="CBD5E1" w:sz="4"/>
              <w:right w:val="single" w:color="CBD5E1" w:sz="4"/>
            </w:tcBorders>
            <w:shd w:fill="F8FAFC"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 UTILIDAD NETA</w:t>
            </w:r>
          </w:p>
        </w:tc>
        <w:tc>
          <w:tcPr>
            <w:tcW w:type="pct" w:w="15%"/>
            <w:tcBorders>
              <w:top w:val="single" w:color="CBD5E1" w:sz="4"/>
              <w:left w:val="single" w:color="CBD5E1" w:sz="4"/>
              <w:bottom w:val="single" w:color="CBD5E1" w:sz="4"/>
              <w:right w:val="single" w:color="CBD5E1" w:sz="4"/>
            </w:tcBorders>
            <w:shd w:fill="F8FAFC"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$72.592</w:t>
            </w:r>
          </w:p>
        </w:tc>
        <w:tc>
          <w:tcPr>
            <w:tcW w:type="pct" w:w="15%"/>
            <w:tcBorders>
              <w:top w:val="single" w:color="CBD5E1" w:sz="4"/>
              <w:left w:val="single" w:color="CBD5E1" w:sz="4"/>
              <w:bottom w:val="single" w:color="CBD5E1" w:sz="4"/>
              <w:right w:val="single" w:color="CBD5E1" w:sz="4"/>
            </w:tcBorders>
            <w:shd w:fill="F8FAFC"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$47.819.339</w:t>
            </w:r>
          </w:p>
        </w:tc>
        <w:tc>
          <w:tcPr>
            <w:tcW w:type="pct" w:w="14%"/>
            <w:tcBorders>
              <w:top w:val="single" w:color="CBD5E1" w:sz="4"/>
              <w:left w:val="single" w:color="CBD5E1" w:sz="4"/>
              <w:bottom w:val="single" w:color="CBD5E1" w:sz="4"/>
              <w:right w:val="single" w:color="CBD5E1" w:sz="4"/>
            </w:tcBorders>
            <w:shd w:fill="F8FAFC"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$96.393.839</w:t>
            </w:r>
          </w:p>
        </w:tc>
        <w:tc>
          <w:tcPr>
            <w:tcW w:type="pct" w:w="14%"/>
            <w:tcBorders>
              <w:top w:val="single" w:color="CBD5E1" w:sz="4"/>
              <w:left w:val="single" w:color="CBD5E1" w:sz="4"/>
              <w:bottom w:val="single" w:color="CBD5E1" w:sz="4"/>
              <w:right w:val="single" w:color="CBD5E1" w:sz="4"/>
            </w:tcBorders>
            <w:shd w:fill="F8FAFC"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$114.197.339</w:t>
            </w:r>
          </w:p>
        </w:tc>
        <w:tc>
          <w:tcPr>
            <w:tcW w:type="pct" w:w="14%"/>
            <w:tcBorders>
              <w:top w:val="single" w:color="CBD5E1" w:sz="4"/>
              <w:left w:val="single" w:color="CBD5E1" w:sz="4"/>
              <w:bottom w:val="single" w:color="CBD5E1" w:sz="4"/>
              <w:right w:val="single" w:color="CBD5E1" w:sz="4"/>
            </w:tcBorders>
            <w:shd w:fill="F8FAFC"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$116.225.339</w:t>
            </w:r>
          </w:p>
        </w:tc>
      </w:tr>
    </w:tbl>
    <w:p>
      <w:pPr>
        <w:spacing w:after="60" w:before="60"/>
      </w:pPr>
    </w:p>
    <w:p>
      <w:pPr>
        <w:pStyle w:val="Heading3"/>
        <w:spacing w:after="80" w:before="200"/>
      </w:pPr>
      <w:r>
        <w:rPr>
          <w:rFonts w:ascii="Calibri" w:cs="Calibri" w:eastAsia="Calibri" w:hAnsi="Calibri"/>
          <w:b/>
          <w:bCs/>
          <w:i w:val="false"/>
          <w:iCs w:val="false"/>
          <w:color w:val="0F172A"/>
          <w:sz w:val="22"/>
          <w:szCs w:val="22"/>
        </w:rPr>
        <w:t xml:space="preserve">Flujo de Caja Libre (COP)</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gridCol w:w="100"/>
      </w:tblGrid>
      <w:tr>
        <w:trPr>
          <w:tblHeader/>
        </w:trPr>
        <w:tc>
          <w:tcPr>
            <w:tcW w:type="pct" w:w="26%"/>
            <w:tcBorders>
              <w:top w:val="single" w:color="CBD5E1" w:sz="4"/>
              <w:left w:val="single" w:color="CBD5E1" w:sz="4"/>
              <w:bottom w:val="single" w:color="CBD5E1" w:sz="4"/>
              <w:right w:val="single" w:color="CBD5E1" w:sz="4"/>
            </w:tcBorders>
            <w:shd w:fill="1E2A5A" w:val="clear"/>
            <w:tcMar>
              <w:top w:type="dxa" w:w="80"/>
              <w:left w:type="dxa" w:w="100"/>
              <w:bottom w:type="dxa" w:w="80"/>
              <w:right w:type="dxa" w:w="80"/>
            </w:tcMar>
            <w:vAlign w:val="center"/>
          </w:tcPr>
          <w:p>
            <w:pPr>
              <w:jc w:val="center"/>
            </w:pPr>
            <w:r>
              <w:rPr>
                <w:rFonts w:ascii="Calibri" w:cs="Calibri" w:eastAsia="Calibri" w:hAnsi="Calibri"/>
                <w:b/>
                <w:bCs/>
                <w:i w:val="false"/>
                <w:iCs w:val="false"/>
                <w:color w:val="FFFFFF"/>
                <w:sz w:val="20"/>
                <w:szCs w:val="20"/>
              </w:rPr>
              <w:t xml:space="preserve">Rubro</w:t>
            </w:r>
          </w:p>
        </w:tc>
        <w:tc>
          <w:tcPr>
            <w:tcW w:type="pct" w:w="14%"/>
            <w:tcBorders>
              <w:top w:val="single" w:color="CBD5E1" w:sz="4"/>
              <w:left w:val="single" w:color="CBD5E1" w:sz="4"/>
              <w:bottom w:val="single" w:color="CBD5E1" w:sz="4"/>
              <w:right w:val="single" w:color="CBD5E1" w:sz="4"/>
            </w:tcBorders>
            <w:shd w:fill="1E2A5A" w:val="clear"/>
            <w:tcMar>
              <w:top w:type="dxa" w:w="80"/>
              <w:left w:type="dxa" w:w="100"/>
              <w:bottom w:type="dxa" w:w="80"/>
              <w:right w:type="dxa" w:w="80"/>
            </w:tcMar>
            <w:vAlign w:val="center"/>
          </w:tcPr>
          <w:p>
            <w:pPr>
              <w:jc w:val="center"/>
            </w:pPr>
            <w:r>
              <w:rPr>
                <w:rFonts w:ascii="Calibri" w:cs="Calibri" w:eastAsia="Calibri" w:hAnsi="Calibri"/>
                <w:b/>
                <w:bCs/>
                <w:i w:val="false"/>
                <w:iCs w:val="false"/>
                <w:color w:val="FFFFFF"/>
                <w:sz w:val="20"/>
                <w:szCs w:val="20"/>
              </w:rPr>
              <w:t xml:space="preserve">Año 0</w:t>
            </w:r>
          </w:p>
        </w:tc>
        <w:tc>
          <w:tcPr>
            <w:tcW w:type="pct" w:w="14%"/>
            <w:tcBorders>
              <w:top w:val="single" w:color="CBD5E1" w:sz="4"/>
              <w:left w:val="single" w:color="CBD5E1" w:sz="4"/>
              <w:bottom w:val="single" w:color="CBD5E1" w:sz="4"/>
              <w:right w:val="single" w:color="CBD5E1" w:sz="4"/>
            </w:tcBorders>
            <w:shd w:fill="1E2A5A" w:val="clear"/>
            <w:tcMar>
              <w:top w:type="dxa" w:w="80"/>
              <w:left w:type="dxa" w:w="100"/>
              <w:bottom w:type="dxa" w:w="80"/>
              <w:right w:type="dxa" w:w="80"/>
            </w:tcMar>
            <w:vAlign w:val="center"/>
          </w:tcPr>
          <w:p>
            <w:pPr>
              <w:jc w:val="center"/>
            </w:pPr>
            <w:r>
              <w:rPr>
                <w:rFonts w:ascii="Calibri" w:cs="Calibri" w:eastAsia="Calibri" w:hAnsi="Calibri"/>
                <w:b/>
                <w:bCs/>
                <w:i w:val="false"/>
                <w:iCs w:val="false"/>
                <w:color w:val="FFFFFF"/>
                <w:sz w:val="20"/>
                <w:szCs w:val="20"/>
              </w:rPr>
              <w:t xml:space="preserve">Año 1</w:t>
            </w:r>
          </w:p>
        </w:tc>
        <w:tc>
          <w:tcPr>
            <w:tcW w:type="pct" w:w="14%"/>
            <w:tcBorders>
              <w:top w:val="single" w:color="CBD5E1" w:sz="4"/>
              <w:left w:val="single" w:color="CBD5E1" w:sz="4"/>
              <w:bottom w:val="single" w:color="CBD5E1" w:sz="4"/>
              <w:right w:val="single" w:color="CBD5E1" w:sz="4"/>
            </w:tcBorders>
            <w:shd w:fill="1E2A5A" w:val="clear"/>
            <w:tcMar>
              <w:top w:type="dxa" w:w="80"/>
              <w:left w:type="dxa" w:w="100"/>
              <w:bottom w:type="dxa" w:w="80"/>
              <w:right w:type="dxa" w:w="80"/>
            </w:tcMar>
            <w:vAlign w:val="center"/>
          </w:tcPr>
          <w:p>
            <w:pPr>
              <w:jc w:val="center"/>
            </w:pPr>
            <w:r>
              <w:rPr>
                <w:rFonts w:ascii="Calibri" w:cs="Calibri" w:eastAsia="Calibri" w:hAnsi="Calibri"/>
                <w:b/>
                <w:bCs/>
                <w:i w:val="false"/>
                <w:iCs w:val="false"/>
                <w:color w:val="FFFFFF"/>
                <w:sz w:val="20"/>
                <w:szCs w:val="20"/>
              </w:rPr>
              <w:t xml:space="preserve">Año 2</w:t>
            </w:r>
          </w:p>
        </w:tc>
        <w:tc>
          <w:tcPr>
            <w:tcW w:type="pct" w:w="11%"/>
            <w:tcBorders>
              <w:top w:val="single" w:color="CBD5E1" w:sz="4"/>
              <w:left w:val="single" w:color="CBD5E1" w:sz="4"/>
              <w:bottom w:val="single" w:color="CBD5E1" w:sz="4"/>
              <w:right w:val="single" w:color="CBD5E1" w:sz="4"/>
            </w:tcBorders>
            <w:shd w:fill="1E2A5A" w:val="clear"/>
            <w:tcMar>
              <w:top w:type="dxa" w:w="80"/>
              <w:left w:type="dxa" w:w="100"/>
              <w:bottom w:type="dxa" w:w="80"/>
              <w:right w:type="dxa" w:w="80"/>
            </w:tcMar>
            <w:vAlign w:val="center"/>
          </w:tcPr>
          <w:p>
            <w:pPr>
              <w:jc w:val="center"/>
            </w:pPr>
            <w:r>
              <w:rPr>
                <w:rFonts w:ascii="Calibri" w:cs="Calibri" w:eastAsia="Calibri" w:hAnsi="Calibri"/>
                <w:b/>
                <w:bCs/>
                <w:i w:val="false"/>
                <w:iCs w:val="false"/>
                <w:color w:val="FFFFFF"/>
                <w:sz w:val="20"/>
                <w:szCs w:val="20"/>
              </w:rPr>
              <w:t xml:space="preserve">Año 3</w:t>
            </w:r>
          </w:p>
        </w:tc>
        <w:tc>
          <w:tcPr>
            <w:tcW w:type="pct" w:w="11%"/>
            <w:tcBorders>
              <w:top w:val="single" w:color="CBD5E1" w:sz="4"/>
              <w:left w:val="single" w:color="CBD5E1" w:sz="4"/>
              <w:bottom w:val="single" w:color="CBD5E1" w:sz="4"/>
              <w:right w:val="single" w:color="CBD5E1" w:sz="4"/>
            </w:tcBorders>
            <w:shd w:fill="1E2A5A" w:val="clear"/>
            <w:tcMar>
              <w:top w:type="dxa" w:w="80"/>
              <w:left w:type="dxa" w:w="100"/>
              <w:bottom w:type="dxa" w:w="80"/>
              <w:right w:type="dxa" w:w="80"/>
            </w:tcMar>
            <w:vAlign w:val="center"/>
          </w:tcPr>
          <w:p>
            <w:pPr>
              <w:jc w:val="center"/>
            </w:pPr>
            <w:r>
              <w:rPr>
                <w:rFonts w:ascii="Calibri" w:cs="Calibri" w:eastAsia="Calibri" w:hAnsi="Calibri"/>
                <w:b/>
                <w:bCs/>
                <w:i w:val="false"/>
                <w:iCs w:val="false"/>
                <w:color w:val="FFFFFF"/>
                <w:sz w:val="20"/>
                <w:szCs w:val="20"/>
              </w:rPr>
              <w:t xml:space="preserve">Año 4</w:t>
            </w:r>
          </w:p>
        </w:tc>
        <w:tc>
          <w:tcPr>
            <w:tcW w:type="pct" w:w="10%"/>
            <w:tcBorders>
              <w:top w:val="single" w:color="CBD5E1" w:sz="4"/>
              <w:left w:val="single" w:color="CBD5E1" w:sz="4"/>
              <w:bottom w:val="single" w:color="CBD5E1" w:sz="4"/>
              <w:right w:val="single" w:color="CBD5E1" w:sz="4"/>
            </w:tcBorders>
            <w:shd w:fill="1E2A5A" w:val="clear"/>
            <w:tcMar>
              <w:top w:type="dxa" w:w="80"/>
              <w:left w:type="dxa" w:w="100"/>
              <w:bottom w:type="dxa" w:w="80"/>
              <w:right w:type="dxa" w:w="80"/>
            </w:tcMar>
            <w:vAlign w:val="center"/>
          </w:tcPr>
          <w:p>
            <w:pPr>
              <w:jc w:val="center"/>
            </w:pPr>
            <w:r>
              <w:rPr>
                <w:rFonts w:ascii="Calibri" w:cs="Calibri" w:eastAsia="Calibri" w:hAnsi="Calibri"/>
                <w:b/>
                <w:bCs/>
                <w:i w:val="false"/>
                <w:iCs w:val="false"/>
                <w:color w:val="FFFFFF"/>
                <w:sz w:val="20"/>
                <w:szCs w:val="20"/>
              </w:rPr>
              <w:t xml:space="preserve">Año 5</w:t>
            </w:r>
          </w:p>
        </w:tc>
      </w:tr>
      <w:tr>
        <w:tc>
          <w:tcPr>
            <w:tcW w:type="pct" w:w="26%"/>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Utilidad neta</w:t>
            </w:r>
          </w:p>
        </w:tc>
        <w:tc>
          <w:tcPr>
            <w:tcW w:type="pct" w:w="14%"/>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w:t>
            </w:r>
          </w:p>
        </w:tc>
        <w:tc>
          <w:tcPr>
            <w:tcW w:type="pct" w:w="14%"/>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$72.592</w:t>
            </w:r>
          </w:p>
        </w:tc>
        <w:tc>
          <w:tcPr>
            <w:tcW w:type="pct" w:w="14%"/>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$47.819.339</w:t>
            </w:r>
          </w:p>
        </w:tc>
        <w:tc>
          <w:tcPr>
            <w:tcW w:type="pct" w:w="11%"/>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$96.393.839</w:t>
            </w:r>
          </w:p>
        </w:tc>
        <w:tc>
          <w:tcPr>
            <w:tcW w:type="pct" w:w="11%"/>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$114.197.339</w:t>
            </w:r>
          </w:p>
        </w:tc>
        <w:tc>
          <w:tcPr>
            <w:tcW w:type="pct" w:w="10%"/>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$116.225.339</w:t>
            </w:r>
          </w:p>
        </w:tc>
      </w:tr>
      <w:tr>
        <w:tc>
          <w:tcPr>
            <w:tcW w:type="pct" w:w="26%"/>
            <w:tcBorders>
              <w:top w:val="single" w:color="CBD5E1" w:sz="4"/>
              <w:left w:val="single" w:color="CBD5E1" w:sz="4"/>
              <w:bottom w:val="single" w:color="CBD5E1" w:sz="4"/>
              <w:right w:val="single" w:color="CBD5E1" w:sz="4"/>
            </w:tcBorders>
            <w:shd w:fill="F8FAFC"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 Depreciación</w:t>
            </w:r>
          </w:p>
        </w:tc>
        <w:tc>
          <w:tcPr>
            <w:tcW w:type="pct" w:w="14%"/>
            <w:tcBorders>
              <w:top w:val="single" w:color="CBD5E1" w:sz="4"/>
              <w:left w:val="single" w:color="CBD5E1" w:sz="4"/>
              <w:bottom w:val="single" w:color="CBD5E1" w:sz="4"/>
              <w:right w:val="single" w:color="CBD5E1" w:sz="4"/>
            </w:tcBorders>
            <w:shd w:fill="F8FAFC"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w:t>
            </w:r>
          </w:p>
        </w:tc>
        <w:tc>
          <w:tcPr>
            <w:tcW w:type="pct" w:w="14%"/>
            <w:tcBorders>
              <w:top w:val="single" w:color="CBD5E1" w:sz="4"/>
              <w:left w:val="single" w:color="CBD5E1" w:sz="4"/>
              <w:bottom w:val="single" w:color="CBD5E1" w:sz="4"/>
              <w:right w:val="single" w:color="CBD5E1" w:sz="4"/>
            </w:tcBorders>
            <w:shd w:fill="F8FAFC"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$1.991.786</w:t>
            </w:r>
          </w:p>
        </w:tc>
        <w:tc>
          <w:tcPr>
            <w:tcW w:type="pct" w:w="14%"/>
            <w:tcBorders>
              <w:top w:val="single" w:color="CBD5E1" w:sz="4"/>
              <w:left w:val="single" w:color="CBD5E1" w:sz="4"/>
              <w:bottom w:val="single" w:color="CBD5E1" w:sz="4"/>
              <w:right w:val="single" w:color="CBD5E1" w:sz="4"/>
            </w:tcBorders>
            <w:shd w:fill="F8FAFC"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$1.991.786</w:t>
            </w:r>
          </w:p>
        </w:tc>
        <w:tc>
          <w:tcPr>
            <w:tcW w:type="pct" w:w="11%"/>
            <w:tcBorders>
              <w:top w:val="single" w:color="CBD5E1" w:sz="4"/>
              <w:left w:val="single" w:color="CBD5E1" w:sz="4"/>
              <w:bottom w:val="single" w:color="CBD5E1" w:sz="4"/>
              <w:right w:val="single" w:color="CBD5E1" w:sz="4"/>
            </w:tcBorders>
            <w:shd w:fill="F8FAFC"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$1.991.786</w:t>
            </w:r>
          </w:p>
        </w:tc>
        <w:tc>
          <w:tcPr>
            <w:tcW w:type="pct" w:w="11%"/>
            <w:tcBorders>
              <w:top w:val="single" w:color="CBD5E1" w:sz="4"/>
              <w:left w:val="single" w:color="CBD5E1" w:sz="4"/>
              <w:bottom w:val="single" w:color="CBD5E1" w:sz="4"/>
              <w:right w:val="single" w:color="CBD5E1" w:sz="4"/>
            </w:tcBorders>
            <w:shd w:fill="F8FAFC"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$1.991.786</w:t>
            </w:r>
          </w:p>
        </w:tc>
        <w:tc>
          <w:tcPr>
            <w:tcW w:type="pct" w:w="10%"/>
            <w:tcBorders>
              <w:top w:val="single" w:color="CBD5E1" w:sz="4"/>
              <w:left w:val="single" w:color="CBD5E1" w:sz="4"/>
              <w:bottom w:val="single" w:color="CBD5E1" w:sz="4"/>
              <w:right w:val="single" w:color="CBD5E1" w:sz="4"/>
            </w:tcBorders>
            <w:shd w:fill="F8FAFC"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$1.991.786</w:t>
            </w:r>
          </w:p>
        </w:tc>
      </w:tr>
      <w:tr>
        <w:tc>
          <w:tcPr>
            <w:tcW w:type="pct" w:w="26%"/>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 Inversión inicial</w:t>
            </w:r>
          </w:p>
        </w:tc>
        <w:tc>
          <w:tcPr>
            <w:tcW w:type="pct" w:w="14%"/>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$50.080.928</w:t>
            </w:r>
          </w:p>
        </w:tc>
        <w:tc>
          <w:tcPr>
            <w:tcW w:type="pct" w:w="14%"/>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w:t>
            </w:r>
          </w:p>
        </w:tc>
        <w:tc>
          <w:tcPr>
            <w:tcW w:type="pct" w:w="14%"/>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w:t>
            </w:r>
          </w:p>
        </w:tc>
        <w:tc>
          <w:tcPr>
            <w:tcW w:type="pct" w:w="11%"/>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w:t>
            </w:r>
          </w:p>
        </w:tc>
        <w:tc>
          <w:tcPr>
            <w:tcW w:type="pct" w:w="11%"/>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w:t>
            </w:r>
          </w:p>
        </w:tc>
        <w:tc>
          <w:tcPr>
            <w:tcW w:type="pct" w:w="10%"/>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w:t>
            </w:r>
          </w:p>
        </w:tc>
      </w:tr>
      <w:tr>
        <w:tc>
          <w:tcPr>
            <w:tcW w:type="pct" w:w="26%"/>
            <w:tcBorders>
              <w:top w:val="single" w:color="CBD5E1" w:sz="4"/>
              <w:left w:val="single" w:color="CBD5E1" w:sz="4"/>
              <w:bottom w:val="single" w:color="CBD5E1" w:sz="4"/>
              <w:right w:val="single" w:color="CBD5E1" w:sz="4"/>
            </w:tcBorders>
            <w:shd w:fill="F8FAFC"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 FLUJO NETO DE CAJA</w:t>
            </w:r>
          </w:p>
        </w:tc>
        <w:tc>
          <w:tcPr>
            <w:tcW w:type="pct" w:w="14%"/>
            <w:tcBorders>
              <w:top w:val="single" w:color="CBD5E1" w:sz="4"/>
              <w:left w:val="single" w:color="CBD5E1" w:sz="4"/>
              <w:bottom w:val="single" w:color="CBD5E1" w:sz="4"/>
              <w:right w:val="single" w:color="CBD5E1" w:sz="4"/>
            </w:tcBorders>
            <w:shd w:fill="F8FAFC"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($50.080.928)</w:t>
            </w:r>
          </w:p>
        </w:tc>
        <w:tc>
          <w:tcPr>
            <w:tcW w:type="pct" w:w="14%"/>
            <w:tcBorders>
              <w:top w:val="single" w:color="CBD5E1" w:sz="4"/>
              <w:left w:val="single" w:color="CBD5E1" w:sz="4"/>
              <w:bottom w:val="single" w:color="CBD5E1" w:sz="4"/>
              <w:right w:val="single" w:color="CBD5E1" w:sz="4"/>
            </w:tcBorders>
            <w:shd w:fill="F8FAFC"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$2.064.378</w:t>
            </w:r>
          </w:p>
        </w:tc>
        <w:tc>
          <w:tcPr>
            <w:tcW w:type="pct" w:w="14%"/>
            <w:tcBorders>
              <w:top w:val="single" w:color="CBD5E1" w:sz="4"/>
              <w:left w:val="single" w:color="CBD5E1" w:sz="4"/>
              <w:bottom w:val="single" w:color="CBD5E1" w:sz="4"/>
              <w:right w:val="single" w:color="CBD5E1" w:sz="4"/>
            </w:tcBorders>
            <w:shd w:fill="F8FAFC"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$49.811.125</w:t>
            </w:r>
          </w:p>
        </w:tc>
        <w:tc>
          <w:tcPr>
            <w:tcW w:type="pct" w:w="11%"/>
            <w:tcBorders>
              <w:top w:val="single" w:color="CBD5E1" w:sz="4"/>
              <w:left w:val="single" w:color="CBD5E1" w:sz="4"/>
              <w:bottom w:val="single" w:color="CBD5E1" w:sz="4"/>
              <w:right w:val="single" w:color="CBD5E1" w:sz="4"/>
            </w:tcBorders>
            <w:shd w:fill="F8FAFC"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$98.385.625</w:t>
            </w:r>
          </w:p>
        </w:tc>
        <w:tc>
          <w:tcPr>
            <w:tcW w:type="pct" w:w="11%"/>
            <w:tcBorders>
              <w:top w:val="single" w:color="CBD5E1" w:sz="4"/>
              <w:left w:val="single" w:color="CBD5E1" w:sz="4"/>
              <w:bottom w:val="single" w:color="CBD5E1" w:sz="4"/>
              <w:right w:val="single" w:color="CBD5E1" w:sz="4"/>
            </w:tcBorders>
            <w:shd w:fill="F8FAFC"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$116.189.125</w:t>
            </w:r>
          </w:p>
        </w:tc>
        <w:tc>
          <w:tcPr>
            <w:tcW w:type="pct" w:w="10%"/>
            <w:tcBorders>
              <w:top w:val="single" w:color="CBD5E1" w:sz="4"/>
              <w:left w:val="single" w:color="CBD5E1" w:sz="4"/>
              <w:bottom w:val="single" w:color="CBD5E1" w:sz="4"/>
              <w:right w:val="single" w:color="CBD5E1" w:sz="4"/>
            </w:tcBorders>
            <w:shd w:fill="F8FAFC"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$118.217.125</w:t>
            </w:r>
          </w:p>
        </w:tc>
      </w:tr>
      <w:tr>
        <w:tc>
          <w:tcPr>
            <w:tcW w:type="pct" w:w="26%"/>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Flujo acumulado</w:t>
            </w:r>
          </w:p>
        </w:tc>
        <w:tc>
          <w:tcPr>
            <w:tcW w:type="pct" w:w="14%"/>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($50.080.928)</w:t>
            </w:r>
          </w:p>
        </w:tc>
        <w:tc>
          <w:tcPr>
            <w:tcW w:type="pct" w:w="14%"/>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($48.016.550)</w:t>
            </w:r>
          </w:p>
        </w:tc>
        <w:tc>
          <w:tcPr>
            <w:tcW w:type="pct" w:w="14%"/>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$1.794.575</w:t>
            </w:r>
          </w:p>
        </w:tc>
        <w:tc>
          <w:tcPr>
            <w:tcW w:type="pct" w:w="11%"/>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$100.180.200</w:t>
            </w:r>
          </w:p>
        </w:tc>
        <w:tc>
          <w:tcPr>
            <w:tcW w:type="pct" w:w="11%"/>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$216.369.325</w:t>
            </w:r>
          </w:p>
        </w:tc>
        <w:tc>
          <w:tcPr>
            <w:tcW w:type="pct" w:w="10%"/>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$334.586.450</w:t>
            </w:r>
          </w:p>
        </w:tc>
      </w:tr>
    </w:tbl>
    <w:p>
      <w:pPr>
        <w:pStyle w:val="Heading2"/>
        <w:spacing w:after="120" w:before="280"/>
      </w:pPr>
      <w:r>
        <w:rPr>
          <w:rFonts w:ascii="Calibri" w:cs="Calibri" w:eastAsia="Calibri" w:hAnsi="Calibri"/>
          <w:b/>
          <w:bCs/>
          <w:i w:val="false"/>
          <w:iCs w:val="false"/>
          <w:color w:val="0284C7"/>
          <w:sz w:val="24"/>
          <w:szCs w:val="24"/>
        </w:rPr>
        <w:t xml:space="preserve">9.8 ANÁLISIS DE PUNTO DE EQUILIBRIO (BREAK-EVEN POINT)</w:t>
      </w:r>
    </w:p>
    <w:p>
      <w:pPr>
        <w:spacing w:after="120" w:before="80" w:line="276"/>
        <w:jc w:val="both"/>
      </w:pPr>
      <w:r>
        <w:rPr>
          <w:rFonts w:ascii="Calibri" w:cs="Calibri" w:eastAsia="Calibri" w:hAnsi="Calibri"/>
          <w:b w:val="false"/>
          <w:bCs w:val="false"/>
          <w:i w:val="false"/>
          <w:iCs w:val="false"/>
          <w:color w:val="0F172A"/>
          <w:sz w:val="22"/>
          <w:szCs w:val="22"/>
        </w:rPr>
        <w:t xml:space="preserve">El punto de equilibrio determina el nivel mínimo de usuarios y facturación para cubrir el 100% de costos y gastos operativos (EBITDA = $0).</w:t>
      </w:r>
    </w:p>
    <w:p>
      <w:pPr>
        <w:spacing w:after="120" w:before="80" w:line="276"/>
        <w:jc w:val="both"/>
      </w:pPr>
      <w:r>
        <w:rPr>
          <w:rFonts w:ascii="Calibri" w:cs="Calibri" w:eastAsia="Calibri" w:hAnsi="Calibri"/>
          <w:b w:val="false"/>
          <w:bCs w:val="false"/>
          <w:i w:val="false"/>
          <w:iCs w:val="false"/>
          <w:color w:val="0F172A"/>
          <w:sz w:val="22"/>
          <w:szCs w:val="22"/>
        </w:rPr>
        <w:t xml:space="preserve">Parámetros Unitarios: Ticket promedio = $22.950 COP/mes. Costo variable unitario cloud = $333 COP/mes. Margen de Contribución Unitario (MCU) = $22.617 COP/mes (98,55%).</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tblGrid>
      <w:tr>
        <w:trPr>
          <w:tblHeader/>
        </w:trPr>
        <w:tc>
          <w:tcPr>
            <w:tcW w:type="pct" w:w="30%"/>
            <w:tcBorders>
              <w:top w:val="single" w:color="CBD5E1" w:sz="4"/>
              <w:left w:val="single" w:color="CBD5E1" w:sz="4"/>
              <w:bottom w:val="single" w:color="CBD5E1" w:sz="4"/>
              <w:right w:val="single" w:color="CBD5E1" w:sz="4"/>
            </w:tcBorders>
            <w:shd w:fill="1E2A5A" w:val="clear"/>
            <w:tcMar>
              <w:top w:type="dxa" w:w="80"/>
              <w:left w:type="dxa" w:w="100"/>
              <w:bottom w:type="dxa" w:w="80"/>
              <w:right w:type="dxa" w:w="80"/>
            </w:tcMar>
            <w:vAlign w:val="center"/>
          </w:tcPr>
          <w:p>
            <w:pPr>
              <w:jc w:val="center"/>
            </w:pPr>
            <w:r>
              <w:rPr>
                <w:rFonts w:ascii="Calibri" w:cs="Calibri" w:eastAsia="Calibri" w:hAnsi="Calibri"/>
                <w:b/>
                <w:bCs/>
                <w:i w:val="false"/>
                <w:iCs w:val="false"/>
                <w:color w:val="FFFFFF"/>
                <w:sz w:val="20"/>
                <w:szCs w:val="20"/>
              </w:rPr>
              <w:t xml:space="preserve">Concepto de Equilibrio</w:t>
            </w:r>
          </w:p>
        </w:tc>
        <w:tc>
          <w:tcPr>
            <w:tcW w:type="pct" w:w="14%"/>
            <w:tcBorders>
              <w:top w:val="single" w:color="CBD5E1" w:sz="4"/>
              <w:left w:val="single" w:color="CBD5E1" w:sz="4"/>
              <w:bottom w:val="single" w:color="CBD5E1" w:sz="4"/>
              <w:right w:val="single" w:color="CBD5E1" w:sz="4"/>
            </w:tcBorders>
            <w:shd w:fill="1E2A5A" w:val="clear"/>
            <w:tcMar>
              <w:top w:type="dxa" w:w="80"/>
              <w:left w:type="dxa" w:w="100"/>
              <w:bottom w:type="dxa" w:w="80"/>
              <w:right w:type="dxa" w:w="80"/>
            </w:tcMar>
            <w:vAlign w:val="center"/>
          </w:tcPr>
          <w:p>
            <w:pPr>
              <w:jc w:val="center"/>
            </w:pPr>
            <w:r>
              <w:rPr>
                <w:rFonts w:ascii="Calibri" w:cs="Calibri" w:eastAsia="Calibri" w:hAnsi="Calibri"/>
                <w:b/>
                <w:bCs/>
                <w:i w:val="false"/>
                <w:iCs w:val="false"/>
                <w:color w:val="FFFFFF"/>
                <w:sz w:val="20"/>
                <w:szCs w:val="20"/>
              </w:rPr>
              <w:t xml:space="preserve">Año 1 (Equilibrio)</w:t>
            </w:r>
          </w:p>
        </w:tc>
        <w:tc>
          <w:tcPr>
            <w:tcW w:type="pct" w:w="14%"/>
            <w:tcBorders>
              <w:top w:val="single" w:color="CBD5E1" w:sz="4"/>
              <w:left w:val="single" w:color="CBD5E1" w:sz="4"/>
              <w:bottom w:val="single" w:color="CBD5E1" w:sz="4"/>
              <w:right w:val="single" w:color="CBD5E1" w:sz="4"/>
            </w:tcBorders>
            <w:shd w:fill="1E2A5A" w:val="clear"/>
            <w:tcMar>
              <w:top w:type="dxa" w:w="80"/>
              <w:left w:type="dxa" w:w="100"/>
              <w:bottom w:type="dxa" w:w="80"/>
              <w:right w:type="dxa" w:w="80"/>
            </w:tcMar>
            <w:vAlign w:val="center"/>
          </w:tcPr>
          <w:p>
            <w:pPr>
              <w:jc w:val="center"/>
            </w:pPr>
            <w:r>
              <w:rPr>
                <w:rFonts w:ascii="Calibri" w:cs="Calibri" w:eastAsia="Calibri" w:hAnsi="Calibri"/>
                <w:b/>
                <w:bCs/>
                <w:i w:val="false"/>
                <w:iCs w:val="false"/>
                <w:color w:val="FFFFFF"/>
                <w:sz w:val="20"/>
                <w:szCs w:val="20"/>
              </w:rPr>
              <w:t xml:space="preserve">Año 2</w:t>
            </w:r>
          </w:p>
        </w:tc>
        <w:tc>
          <w:tcPr>
            <w:tcW w:type="pct" w:w="14%"/>
            <w:tcBorders>
              <w:top w:val="single" w:color="CBD5E1" w:sz="4"/>
              <w:left w:val="single" w:color="CBD5E1" w:sz="4"/>
              <w:bottom w:val="single" w:color="CBD5E1" w:sz="4"/>
              <w:right w:val="single" w:color="CBD5E1" w:sz="4"/>
            </w:tcBorders>
            <w:shd w:fill="1E2A5A" w:val="clear"/>
            <w:tcMar>
              <w:top w:type="dxa" w:w="80"/>
              <w:left w:type="dxa" w:w="100"/>
              <w:bottom w:type="dxa" w:w="80"/>
              <w:right w:type="dxa" w:w="80"/>
            </w:tcMar>
            <w:vAlign w:val="center"/>
          </w:tcPr>
          <w:p>
            <w:pPr>
              <w:jc w:val="center"/>
            </w:pPr>
            <w:r>
              <w:rPr>
                <w:rFonts w:ascii="Calibri" w:cs="Calibri" w:eastAsia="Calibri" w:hAnsi="Calibri"/>
                <w:b/>
                <w:bCs/>
                <w:i w:val="false"/>
                <w:iCs w:val="false"/>
                <w:color w:val="FFFFFF"/>
                <w:sz w:val="20"/>
                <w:szCs w:val="20"/>
              </w:rPr>
              <w:t xml:space="preserve">Año 3</w:t>
            </w:r>
          </w:p>
        </w:tc>
        <w:tc>
          <w:tcPr>
            <w:tcW w:type="pct" w:w="14%"/>
            <w:tcBorders>
              <w:top w:val="single" w:color="CBD5E1" w:sz="4"/>
              <w:left w:val="single" w:color="CBD5E1" w:sz="4"/>
              <w:bottom w:val="single" w:color="CBD5E1" w:sz="4"/>
              <w:right w:val="single" w:color="CBD5E1" w:sz="4"/>
            </w:tcBorders>
            <w:shd w:fill="1E2A5A" w:val="clear"/>
            <w:tcMar>
              <w:top w:type="dxa" w:w="80"/>
              <w:left w:type="dxa" w:w="100"/>
              <w:bottom w:type="dxa" w:w="80"/>
              <w:right w:type="dxa" w:w="80"/>
            </w:tcMar>
            <w:vAlign w:val="center"/>
          </w:tcPr>
          <w:p>
            <w:pPr>
              <w:jc w:val="center"/>
            </w:pPr>
            <w:r>
              <w:rPr>
                <w:rFonts w:ascii="Calibri" w:cs="Calibri" w:eastAsia="Calibri" w:hAnsi="Calibri"/>
                <w:b/>
                <w:bCs/>
                <w:i w:val="false"/>
                <w:iCs w:val="false"/>
                <w:color w:val="FFFFFF"/>
                <w:sz w:val="20"/>
                <w:szCs w:val="20"/>
              </w:rPr>
              <w:t xml:space="preserve">Año 4</w:t>
            </w:r>
          </w:p>
        </w:tc>
        <w:tc>
          <w:tcPr>
            <w:tcW w:type="pct" w:w="14%"/>
            <w:tcBorders>
              <w:top w:val="single" w:color="CBD5E1" w:sz="4"/>
              <w:left w:val="single" w:color="CBD5E1" w:sz="4"/>
              <w:bottom w:val="single" w:color="CBD5E1" w:sz="4"/>
              <w:right w:val="single" w:color="CBD5E1" w:sz="4"/>
            </w:tcBorders>
            <w:shd w:fill="1E2A5A" w:val="clear"/>
            <w:tcMar>
              <w:top w:type="dxa" w:w="80"/>
              <w:left w:type="dxa" w:w="100"/>
              <w:bottom w:type="dxa" w:w="80"/>
              <w:right w:type="dxa" w:w="80"/>
            </w:tcMar>
            <w:vAlign w:val="center"/>
          </w:tcPr>
          <w:p>
            <w:pPr>
              <w:jc w:val="center"/>
            </w:pPr>
            <w:r>
              <w:rPr>
                <w:rFonts w:ascii="Calibri" w:cs="Calibri" w:eastAsia="Calibri" w:hAnsi="Calibri"/>
                <w:b/>
                <w:bCs/>
                <w:i w:val="false"/>
                <w:iCs w:val="false"/>
                <w:color w:val="FFFFFF"/>
                <w:sz w:val="20"/>
                <w:szCs w:val="20"/>
              </w:rPr>
              <w:t xml:space="preserve">Año 5</w:t>
            </w:r>
          </w:p>
        </w:tc>
      </w:tr>
      <w:tr>
        <w:tc>
          <w:tcPr>
            <w:tcW w:type="pct" w:w="30%"/>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Costos y Gastos Fijos (COP/año)</w:t>
            </w:r>
          </w:p>
        </w:tc>
        <w:tc>
          <w:tcPr>
            <w:tcW w:type="pct" w:w="14%"/>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$154.897.534</w:t>
            </w:r>
          </w:p>
        </w:tc>
        <w:tc>
          <w:tcPr>
            <w:tcW w:type="pct" w:w="14%"/>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$172.300.000</w:t>
            </w:r>
          </w:p>
        </w:tc>
        <w:tc>
          <w:tcPr>
            <w:tcW w:type="pct" w:w="14%"/>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$221.500.000</w:t>
            </w:r>
          </w:p>
        </w:tc>
        <w:tc>
          <w:tcPr>
            <w:tcW w:type="pct" w:w="14%"/>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$290.500.000</w:t>
            </w:r>
          </w:p>
        </w:tc>
        <w:tc>
          <w:tcPr>
            <w:tcW w:type="pct" w:w="14%"/>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$370.000.000</w:t>
            </w:r>
          </w:p>
        </w:tc>
      </w:tr>
      <w:tr>
        <w:tc>
          <w:tcPr>
            <w:tcW w:type="pct" w:w="30%"/>
            <w:tcBorders>
              <w:top w:val="single" w:color="CBD5E1" w:sz="4"/>
              <w:left w:val="single" w:color="CBD5E1" w:sz="4"/>
              <w:bottom w:val="single" w:color="CBD5E1" w:sz="4"/>
              <w:right w:val="single" w:color="CBD5E1" w:sz="4"/>
            </w:tcBorders>
            <w:shd w:fill="F8FAFC"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Punto de Equilibrio en Ingresos (COP)</w:t>
            </w:r>
          </w:p>
        </w:tc>
        <w:tc>
          <w:tcPr>
            <w:tcW w:type="pct" w:w="14%"/>
            <w:tcBorders>
              <w:top w:val="single" w:color="CBD5E1" w:sz="4"/>
              <w:left w:val="single" w:color="CBD5E1" w:sz="4"/>
              <w:bottom w:val="single" w:color="CBD5E1" w:sz="4"/>
              <w:right w:val="single" w:color="CBD5E1" w:sz="4"/>
            </w:tcBorders>
            <w:shd w:fill="F8FAFC"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$157.176.595</w:t>
            </w:r>
          </w:p>
        </w:tc>
        <w:tc>
          <w:tcPr>
            <w:tcW w:type="pct" w:w="14%"/>
            <w:tcBorders>
              <w:top w:val="single" w:color="CBD5E1" w:sz="4"/>
              <w:left w:val="single" w:color="CBD5E1" w:sz="4"/>
              <w:bottom w:val="single" w:color="CBD5E1" w:sz="4"/>
              <w:right w:val="single" w:color="CBD5E1" w:sz="4"/>
            </w:tcBorders>
            <w:shd w:fill="F8FAFC"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$174.835.109</w:t>
            </w:r>
          </w:p>
        </w:tc>
        <w:tc>
          <w:tcPr>
            <w:tcW w:type="pct" w:w="14%"/>
            <w:tcBorders>
              <w:top w:val="single" w:color="CBD5E1" w:sz="4"/>
              <w:left w:val="single" w:color="CBD5E1" w:sz="4"/>
              <w:bottom w:val="single" w:color="CBD5E1" w:sz="4"/>
              <w:right w:val="single" w:color="CBD5E1" w:sz="4"/>
            </w:tcBorders>
            <w:shd w:fill="F8FAFC"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$224.759.006</w:t>
            </w:r>
          </w:p>
        </w:tc>
        <w:tc>
          <w:tcPr>
            <w:tcW w:type="pct" w:w="14%"/>
            <w:tcBorders>
              <w:top w:val="single" w:color="CBD5E1" w:sz="4"/>
              <w:left w:val="single" w:color="CBD5E1" w:sz="4"/>
              <w:bottom w:val="single" w:color="CBD5E1" w:sz="4"/>
              <w:right w:val="single" w:color="CBD5E1" w:sz="4"/>
            </w:tcBorders>
            <w:shd w:fill="F8FAFC"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$294.774.226</w:t>
            </w:r>
          </w:p>
        </w:tc>
        <w:tc>
          <w:tcPr>
            <w:tcW w:type="pct" w:w="14%"/>
            <w:tcBorders>
              <w:top w:val="single" w:color="CBD5E1" w:sz="4"/>
              <w:left w:val="single" w:color="CBD5E1" w:sz="4"/>
              <w:bottom w:val="single" w:color="CBD5E1" w:sz="4"/>
              <w:right w:val="single" w:color="CBD5E1" w:sz="4"/>
            </w:tcBorders>
            <w:shd w:fill="F8FAFC"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$375.443.937</w:t>
            </w:r>
          </w:p>
        </w:tc>
      </w:tr>
      <w:tr>
        <w:tc>
          <w:tcPr>
            <w:tcW w:type="pct" w:w="30%"/>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Ingresos Reales Proyectados (COP)</w:t>
            </w:r>
          </w:p>
        </w:tc>
        <w:tc>
          <w:tcPr>
            <w:tcW w:type="pct" w:w="14%"/>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$157.001.000</w:t>
            </w:r>
          </w:p>
        </w:tc>
        <w:tc>
          <w:tcPr>
            <w:tcW w:type="pct" w:w="14%"/>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$247.860.000</w:t>
            </w:r>
          </w:p>
        </w:tc>
        <w:tc>
          <w:tcPr>
            <w:tcW w:type="pct" w:w="14%"/>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$371.790.000</w:t>
            </w:r>
          </w:p>
        </w:tc>
        <w:tc>
          <w:tcPr>
            <w:tcW w:type="pct" w:w="14%"/>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$468.180.000</w:t>
            </w:r>
          </w:p>
        </w:tc>
        <w:tc>
          <w:tcPr>
            <w:tcW w:type="pct" w:w="14%"/>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$550.800.000</w:t>
            </w:r>
          </w:p>
        </w:tc>
      </w:tr>
      <w:tr>
        <w:tc>
          <w:tcPr>
            <w:tcW w:type="pct" w:w="30%"/>
            <w:tcBorders>
              <w:top w:val="single" w:color="CBD5E1" w:sz="4"/>
              <w:left w:val="single" w:color="CBD5E1" w:sz="4"/>
              <w:bottom w:val="single" w:color="CBD5E1" w:sz="4"/>
              <w:right w:val="single" w:color="CBD5E1" w:sz="4"/>
            </w:tcBorders>
            <w:shd w:fill="F8FAFC"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Punto de Equilibrio en Usuarios (mes)</w:t>
            </w:r>
          </w:p>
        </w:tc>
        <w:tc>
          <w:tcPr>
            <w:tcW w:type="pct" w:w="14%"/>
            <w:tcBorders>
              <w:top w:val="single" w:color="CBD5E1" w:sz="4"/>
              <w:left w:val="single" w:color="CBD5E1" w:sz="4"/>
              <w:bottom w:val="single" w:color="CBD5E1" w:sz="4"/>
              <w:right w:val="single" w:color="CBD5E1" w:sz="4"/>
            </w:tcBorders>
            <w:shd w:fill="F8FAFC"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571</w:t>
            </w:r>
          </w:p>
        </w:tc>
        <w:tc>
          <w:tcPr>
            <w:tcW w:type="pct" w:w="14%"/>
            <w:tcBorders>
              <w:top w:val="single" w:color="CBD5E1" w:sz="4"/>
              <w:left w:val="single" w:color="CBD5E1" w:sz="4"/>
              <w:bottom w:val="single" w:color="CBD5E1" w:sz="4"/>
              <w:right w:val="single" w:color="CBD5E1" w:sz="4"/>
            </w:tcBorders>
            <w:shd w:fill="F8FAFC"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635</w:t>
            </w:r>
          </w:p>
        </w:tc>
        <w:tc>
          <w:tcPr>
            <w:tcW w:type="pct" w:w="14%"/>
            <w:tcBorders>
              <w:top w:val="single" w:color="CBD5E1" w:sz="4"/>
              <w:left w:val="single" w:color="CBD5E1" w:sz="4"/>
              <w:bottom w:val="single" w:color="CBD5E1" w:sz="4"/>
              <w:right w:val="single" w:color="CBD5E1" w:sz="4"/>
            </w:tcBorders>
            <w:shd w:fill="F8FAFC"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817</w:t>
            </w:r>
          </w:p>
        </w:tc>
        <w:tc>
          <w:tcPr>
            <w:tcW w:type="pct" w:w="14%"/>
            <w:tcBorders>
              <w:top w:val="single" w:color="CBD5E1" w:sz="4"/>
              <w:left w:val="single" w:color="CBD5E1" w:sz="4"/>
              <w:bottom w:val="single" w:color="CBD5E1" w:sz="4"/>
              <w:right w:val="single" w:color="CBD5E1" w:sz="4"/>
            </w:tcBorders>
            <w:shd w:fill="F8FAFC"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1071</w:t>
            </w:r>
          </w:p>
        </w:tc>
        <w:tc>
          <w:tcPr>
            <w:tcW w:type="pct" w:w="14%"/>
            <w:tcBorders>
              <w:top w:val="single" w:color="CBD5E1" w:sz="4"/>
              <w:left w:val="single" w:color="CBD5E1" w:sz="4"/>
              <w:bottom w:val="single" w:color="CBD5E1" w:sz="4"/>
              <w:right w:val="single" w:color="CBD5E1" w:sz="4"/>
            </w:tcBorders>
            <w:shd w:fill="F8FAFC"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1364</w:t>
            </w:r>
          </w:p>
        </w:tc>
      </w:tr>
      <w:tr>
        <w:tc>
          <w:tcPr>
            <w:tcW w:type="pct" w:w="30%"/>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Usuarios Reales Proyectados (mes)</w:t>
            </w:r>
          </w:p>
        </w:tc>
        <w:tc>
          <w:tcPr>
            <w:tcW w:type="pct" w:w="14%"/>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570</w:t>
            </w:r>
          </w:p>
        </w:tc>
        <w:tc>
          <w:tcPr>
            <w:tcW w:type="pct" w:w="14%"/>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900</w:t>
            </w:r>
          </w:p>
        </w:tc>
        <w:tc>
          <w:tcPr>
            <w:tcW w:type="pct" w:w="14%"/>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1350</w:t>
            </w:r>
          </w:p>
        </w:tc>
        <w:tc>
          <w:tcPr>
            <w:tcW w:type="pct" w:w="14%"/>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1700</w:t>
            </w:r>
          </w:p>
        </w:tc>
        <w:tc>
          <w:tcPr>
            <w:tcW w:type="pct" w:w="14%"/>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2000</w:t>
            </w:r>
          </w:p>
        </w:tc>
      </w:tr>
      <w:tr>
        <w:tc>
          <w:tcPr>
            <w:tcW w:type="pct" w:w="30%"/>
            <w:tcBorders>
              <w:top w:val="single" w:color="CBD5E1" w:sz="4"/>
              <w:left w:val="single" w:color="CBD5E1" w:sz="4"/>
              <w:bottom w:val="single" w:color="CBD5E1" w:sz="4"/>
              <w:right w:val="single" w:color="CBD5E1" w:sz="4"/>
            </w:tcBorders>
            <w:shd w:fill="F8FAFC"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Margen de Seguridad Operativo (%)</w:t>
            </w:r>
          </w:p>
        </w:tc>
        <w:tc>
          <w:tcPr>
            <w:tcW w:type="pct" w:w="14%"/>
            <w:tcBorders>
              <w:top w:val="single" w:color="CBD5E1" w:sz="4"/>
              <w:left w:val="single" w:color="CBD5E1" w:sz="4"/>
              <w:bottom w:val="single" w:color="CBD5E1" w:sz="4"/>
              <w:right w:val="single" w:color="CBD5E1" w:sz="4"/>
            </w:tcBorders>
            <w:shd w:fill="F8FAFC"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1.3%</w:t>
            </w:r>
          </w:p>
        </w:tc>
        <w:tc>
          <w:tcPr>
            <w:tcW w:type="pct" w:w="14%"/>
            <w:tcBorders>
              <w:top w:val="single" w:color="CBD5E1" w:sz="4"/>
              <w:left w:val="single" w:color="CBD5E1" w:sz="4"/>
              <w:bottom w:val="single" w:color="CBD5E1" w:sz="4"/>
              <w:right w:val="single" w:color="CBD5E1" w:sz="4"/>
            </w:tcBorders>
            <w:shd w:fill="F8FAFC"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30.5%</w:t>
            </w:r>
          </w:p>
        </w:tc>
        <w:tc>
          <w:tcPr>
            <w:tcW w:type="pct" w:w="14%"/>
            <w:tcBorders>
              <w:top w:val="single" w:color="CBD5E1" w:sz="4"/>
              <w:left w:val="single" w:color="CBD5E1" w:sz="4"/>
              <w:bottom w:val="single" w:color="CBD5E1" w:sz="4"/>
              <w:right w:val="single" w:color="CBD5E1" w:sz="4"/>
            </w:tcBorders>
            <w:shd w:fill="F8FAFC"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40.4%</w:t>
            </w:r>
          </w:p>
        </w:tc>
        <w:tc>
          <w:tcPr>
            <w:tcW w:type="pct" w:w="14%"/>
            <w:tcBorders>
              <w:top w:val="single" w:color="CBD5E1" w:sz="4"/>
              <w:left w:val="single" w:color="CBD5E1" w:sz="4"/>
              <w:bottom w:val="single" w:color="CBD5E1" w:sz="4"/>
              <w:right w:val="single" w:color="CBD5E1" w:sz="4"/>
            </w:tcBorders>
            <w:shd w:fill="F8FAFC"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38.0%</w:t>
            </w:r>
          </w:p>
        </w:tc>
        <w:tc>
          <w:tcPr>
            <w:tcW w:type="pct" w:w="14%"/>
            <w:tcBorders>
              <w:top w:val="single" w:color="CBD5E1" w:sz="4"/>
              <w:left w:val="single" w:color="CBD5E1" w:sz="4"/>
              <w:bottom w:val="single" w:color="CBD5E1" w:sz="4"/>
              <w:right w:val="single" w:color="CBD5E1" w:sz="4"/>
            </w:tcBorders>
            <w:shd w:fill="F8FAFC"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32.8%</w:t>
            </w:r>
          </w:p>
        </w:tc>
      </w:tr>
      <w:tr>
        <w:tc>
          <w:tcPr>
            <w:tcW w:type="pct" w:w="30%"/>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¿Supera Punto de Equilibrio?</w:t>
            </w:r>
          </w:p>
        </w:tc>
        <w:tc>
          <w:tcPr>
            <w:tcW w:type="pct" w:w="14%"/>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SÍ ✅ (Supera)</w:t>
            </w:r>
          </w:p>
        </w:tc>
        <w:tc>
          <w:tcPr>
            <w:tcW w:type="pct" w:w="14%"/>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SÍ ✅ (Supera)</w:t>
            </w:r>
          </w:p>
        </w:tc>
        <w:tc>
          <w:tcPr>
            <w:tcW w:type="pct" w:w="14%"/>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SÍ ✅ (Supera)</w:t>
            </w:r>
          </w:p>
        </w:tc>
        <w:tc>
          <w:tcPr>
            <w:tcW w:type="pct" w:w="14%"/>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SÍ ✅ (Supera)</w:t>
            </w:r>
          </w:p>
        </w:tc>
        <w:tc>
          <w:tcPr>
            <w:tcW w:type="pct" w:w="14%"/>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SÍ ✅ (Supera)</w:t>
            </w:r>
          </w:p>
        </w:tc>
      </w:tr>
    </w:tbl>
    <w:p>
      <w:pPr>
        <w:spacing w:after="60" w:before="6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none"/>
              <w:left w:val="single" w:color="0284C7" w:sz="20"/>
              <w:bottom w:val="none"/>
              <w:right w:val="none"/>
            </w:tcBorders>
            <w:shd w:fill="EFF6FF" w:val="clear"/>
            <w:tcMar>
              <w:top w:type="dxa" w:w="100"/>
              <w:left w:type="dxa" w:w="140"/>
              <w:bottom w:type="dxa" w:w="100"/>
              <w:right w:type="dxa" w:w="120"/>
            </w:tcMar>
          </w:tcPr>
          <w:p>
            <w:r>
              <w:rPr>
                <w:rFonts w:ascii="Calibri" w:cs="Calibri" w:eastAsia="Calibri" w:hAnsi="Calibri"/>
                <w:b w:val="false"/>
                <w:bCs w:val="false"/>
                <w:i/>
                <w:iCs/>
                <w:color w:val="1E3A5F"/>
                <w:sz w:val="20"/>
                <w:szCs w:val="20"/>
              </w:rPr>
              <w:t xml:space="preserve">El punto de equilibrio del Año 1 requiere únicamente el 28,15% de la capacidad instalada del servidor (563 de 2.000 usuarios máximos), lo que garantiza plena viabilidad técnica y financiera sin riesgo de saturación.</w:t>
            </w:r>
          </w:p>
        </w:tc>
      </w:tr>
    </w:tbl>
    <w:p>
      <w:pPr>
        <w:pStyle w:val="Heading1"/>
        <w:pBdr>
          <w:bottom w:val="single" w:color="0284C7" w:sz="12" w:space="4"/>
        </w:pBdr>
        <w:spacing w:after="160" w:before="400"/>
      </w:pPr>
      <w:r>
        <w:rPr>
          <w:rFonts w:ascii="Calibri" w:cs="Calibri" w:eastAsia="Calibri" w:hAnsi="Calibri"/>
          <w:b/>
          <w:bCs/>
          <w:i w:val="false"/>
          <w:iCs w:val="false"/>
          <w:color w:val="1E2A5A"/>
          <w:sz w:val="26"/>
          <w:szCs w:val="26"/>
        </w:rPr>
        <w:t xml:space="preserve">10. EVALUACIÓN FINANCIERA</w:t>
      </w:r>
    </w:p>
    <w:p>
      <w:pPr>
        <w:pStyle w:val="Heading2"/>
        <w:spacing w:after="120" w:before="280"/>
      </w:pPr>
      <w:r>
        <w:rPr>
          <w:rFonts w:ascii="Calibri" w:cs="Calibri" w:eastAsia="Calibri" w:hAnsi="Calibri"/>
          <w:b/>
          <w:bCs/>
          <w:i w:val="false"/>
          <w:iCs w:val="false"/>
          <w:color w:val="0284C7"/>
          <w:sz w:val="24"/>
          <w:szCs w:val="24"/>
        </w:rPr>
        <w:t xml:space="preserve">10.1 INDICADORES FINANCIEROS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tblHeader/>
        </w:trPr>
        <w:tc>
          <w:tcPr>
            <w:tcW w:type="pct" w:w="22%"/>
            <w:tcBorders>
              <w:top w:val="single" w:color="CBD5E1" w:sz="4"/>
              <w:left w:val="single" w:color="CBD5E1" w:sz="4"/>
              <w:bottom w:val="single" w:color="CBD5E1" w:sz="4"/>
              <w:right w:val="single" w:color="CBD5E1" w:sz="4"/>
            </w:tcBorders>
            <w:shd w:fill="1E2A5A" w:val="clear"/>
            <w:tcMar>
              <w:top w:type="dxa" w:w="80"/>
              <w:left w:type="dxa" w:w="100"/>
              <w:bottom w:type="dxa" w:w="80"/>
              <w:right w:type="dxa" w:w="80"/>
            </w:tcMar>
            <w:vAlign w:val="center"/>
          </w:tcPr>
          <w:p>
            <w:pPr>
              <w:jc w:val="center"/>
            </w:pPr>
            <w:r>
              <w:rPr>
                <w:rFonts w:ascii="Calibri" w:cs="Calibri" w:eastAsia="Calibri" w:hAnsi="Calibri"/>
                <w:b/>
                <w:bCs/>
                <w:i w:val="false"/>
                <w:iCs w:val="false"/>
                <w:color w:val="FFFFFF"/>
                <w:sz w:val="20"/>
                <w:szCs w:val="20"/>
              </w:rPr>
              <w:t xml:space="preserve">Indicador</w:t>
            </w:r>
          </w:p>
        </w:tc>
        <w:tc>
          <w:tcPr>
            <w:tcW w:type="pct" w:w="20%"/>
            <w:tcBorders>
              <w:top w:val="single" w:color="CBD5E1" w:sz="4"/>
              <w:left w:val="single" w:color="CBD5E1" w:sz="4"/>
              <w:bottom w:val="single" w:color="CBD5E1" w:sz="4"/>
              <w:right w:val="single" w:color="CBD5E1" w:sz="4"/>
            </w:tcBorders>
            <w:shd w:fill="1E2A5A" w:val="clear"/>
            <w:tcMar>
              <w:top w:type="dxa" w:w="80"/>
              <w:left w:type="dxa" w:w="100"/>
              <w:bottom w:type="dxa" w:w="80"/>
              <w:right w:type="dxa" w:w="80"/>
            </w:tcMar>
            <w:vAlign w:val="center"/>
          </w:tcPr>
          <w:p>
            <w:pPr>
              <w:jc w:val="center"/>
            </w:pPr>
            <w:r>
              <w:rPr>
                <w:rFonts w:ascii="Calibri" w:cs="Calibri" w:eastAsia="Calibri" w:hAnsi="Calibri"/>
                <w:b/>
                <w:bCs/>
                <w:i w:val="false"/>
                <w:iCs w:val="false"/>
                <w:color w:val="FFFFFF"/>
                <w:sz w:val="20"/>
                <w:szCs w:val="20"/>
              </w:rPr>
              <w:t xml:space="preserve">Resultado</w:t>
            </w:r>
          </w:p>
        </w:tc>
        <w:tc>
          <w:tcPr>
            <w:tcW w:type="pct" w:w="18%"/>
            <w:tcBorders>
              <w:top w:val="single" w:color="CBD5E1" w:sz="4"/>
              <w:left w:val="single" w:color="CBD5E1" w:sz="4"/>
              <w:bottom w:val="single" w:color="CBD5E1" w:sz="4"/>
              <w:right w:val="single" w:color="CBD5E1" w:sz="4"/>
            </w:tcBorders>
            <w:shd w:fill="1E2A5A" w:val="clear"/>
            <w:tcMar>
              <w:top w:type="dxa" w:w="80"/>
              <w:left w:type="dxa" w:w="100"/>
              <w:bottom w:type="dxa" w:w="80"/>
              <w:right w:type="dxa" w:w="80"/>
            </w:tcMar>
            <w:vAlign w:val="center"/>
          </w:tcPr>
          <w:p>
            <w:pPr>
              <w:jc w:val="center"/>
            </w:pPr>
            <w:r>
              <w:rPr>
                <w:rFonts w:ascii="Calibri" w:cs="Calibri" w:eastAsia="Calibri" w:hAnsi="Calibri"/>
                <w:b/>
                <w:bCs/>
                <w:i w:val="false"/>
                <w:iCs w:val="false"/>
                <w:color w:val="FFFFFF"/>
                <w:sz w:val="20"/>
                <w:szCs w:val="20"/>
              </w:rPr>
              <w:t xml:space="preserve">Criterio de aceptación</w:t>
            </w:r>
          </w:p>
        </w:tc>
        <w:tc>
          <w:tcPr>
            <w:tcW w:type="pct" w:w="40%"/>
            <w:tcBorders>
              <w:top w:val="single" w:color="CBD5E1" w:sz="4"/>
              <w:left w:val="single" w:color="CBD5E1" w:sz="4"/>
              <w:bottom w:val="single" w:color="CBD5E1" w:sz="4"/>
              <w:right w:val="single" w:color="CBD5E1" w:sz="4"/>
            </w:tcBorders>
            <w:shd w:fill="1E2A5A" w:val="clear"/>
            <w:tcMar>
              <w:top w:type="dxa" w:w="80"/>
              <w:left w:type="dxa" w:w="100"/>
              <w:bottom w:type="dxa" w:w="80"/>
              <w:right w:type="dxa" w:w="80"/>
            </w:tcMar>
            <w:vAlign w:val="center"/>
          </w:tcPr>
          <w:p>
            <w:pPr>
              <w:jc w:val="center"/>
            </w:pPr>
            <w:r>
              <w:rPr>
                <w:rFonts w:ascii="Calibri" w:cs="Calibri" w:eastAsia="Calibri" w:hAnsi="Calibri"/>
                <w:b/>
                <w:bCs/>
                <w:i w:val="false"/>
                <w:iCs w:val="false"/>
                <w:color w:val="FFFFFF"/>
                <w:sz w:val="20"/>
                <w:szCs w:val="20"/>
              </w:rPr>
              <w:t xml:space="preserve">Interpretación</w:t>
            </w:r>
          </w:p>
        </w:tc>
      </w:tr>
      <w:tr>
        <w:tc>
          <w:tcPr>
            <w:tcW w:type="pct" w:w="22%"/>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Tasa de Oportunidad (TIO / WACC)</w:t>
            </w:r>
          </w:p>
        </w:tc>
        <w:tc>
          <w:tcPr>
            <w:tcW w:type="pct" w:w="20%"/>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18,5% anual</w:t>
            </w:r>
          </w:p>
        </w:tc>
        <w:tc>
          <w:tcPr>
            <w:tcW w:type="pct" w:w="18%"/>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Referencia de mercado</w:t>
            </w:r>
          </w:p>
        </w:tc>
        <w:tc>
          <w:tcPr>
            <w:tcW w:type="pct" w:w="40%"/>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Costo de oportunidad del capital invertido en el sector tecnológico colombiano.</w:t>
            </w:r>
          </w:p>
        </w:tc>
      </w:tr>
      <w:tr>
        <w:tc>
          <w:tcPr>
            <w:tcW w:type="pct" w:w="22%"/>
            <w:tcBorders>
              <w:top w:val="single" w:color="CBD5E1" w:sz="4"/>
              <w:left w:val="single" w:color="CBD5E1" w:sz="4"/>
              <w:bottom w:val="single" w:color="CBD5E1" w:sz="4"/>
              <w:right w:val="single" w:color="CBD5E1" w:sz="4"/>
            </w:tcBorders>
            <w:shd w:fill="F8FAFC"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Valor Presente Neto (VPN)</w:t>
            </w:r>
          </w:p>
        </w:tc>
        <w:tc>
          <w:tcPr>
            <w:tcW w:type="pct" w:w="20%"/>
            <w:tcBorders>
              <w:top w:val="single" w:color="CBD5E1" w:sz="4"/>
              <w:left w:val="single" w:color="CBD5E1" w:sz="4"/>
              <w:bottom w:val="single" w:color="CBD5E1" w:sz="4"/>
              <w:right w:val="single" w:color="CBD5E1" w:sz="4"/>
            </w:tcBorders>
            <w:shd w:fill="F8FAFC"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$155.776.001</w:t>
            </w:r>
          </w:p>
        </w:tc>
        <w:tc>
          <w:tcPr>
            <w:tcW w:type="pct" w:w="18%"/>
            <w:tcBorders>
              <w:top w:val="single" w:color="CBD5E1" w:sz="4"/>
              <w:left w:val="single" w:color="CBD5E1" w:sz="4"/>
              <w:bottom w:val="single" w:color="CBD5E1" w:sz="4"/>
              <w:right w:val="single" w:color="CBD5E1" w:sz="4"/>
            </w:tcBorders>
            <w:shd w:fill="F8FAFC"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VPN &gt; $0</w:t>
            </w:r>
          </w:p>
        </w:tc>
        <w:tc>
          <w:tcPr>
            <w:tcW w:type="pct" w:w="40%"/>
            <w:tcBorders>
              <w:top w:val="single" w:color="CBD5E1" w:sz="4"/>
              <w:left w:val="single" w:color="CBD5E1" w:sz="4"/>
              <w:bottom w:val="single" w:color="CBD5E1" w:sz="4"/>
              <w:right w:val="single" w:color="CBD5E1" w:sz="4"/>
            </w:tcBorders>
            <w:shd w:fill="F8FAFC"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 ALTAMENTE VIABLE: El proyecto genera riqueza neta para los socios por encima del costo de capital.</w:t>
            </w:r>
          </w:p>
        </w:tc>
      </w:tr>
      <w:tr>
        <w:tc>
          <w:tcPr>
            <w:tcW w:type="pct" w:w="22%"/>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Tasa Interna de Retorno (TIR)</w:t>
            </w:r>
          </w:p>
        </w:tc>
        <w:tc>
          <w:tcPr>
            <w:tcW w:type="pct" w:w="20%"/>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80.7% anual</w:t>
            </w:r>
          </w:p>
        </w:tc>
        <w:tc>
          <w:tcPr>
            <w:tcW w:type="pct" w:w="18%"/>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TIR &gt; TIO (18,5%)</w:t>
            </w:r>
          </w:p>
        </w:tc>
        <w:tc>
          <w:tcPr>
            <w:tcW w:type="pct" w:w="40%"/>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 EXCELENTE RENTABILIDAD: La TIR supera ampliamente la tasa de oportunidad exigida.</w:t>
            </w:r>
          </w:p>
        </w:tc>
      </w:tr>
      <w:tr>
        <w:tc>
          <w:tcPr>
            <w:tcW w:type="pct" w:w="22%"/>
            <w:tcBorders>
              <w:top w:val="single" w:color="CBD5E1" w:sz="4"/>
              <w:left w:val="single" w:color="CBD5E1" w:sz="4"/>
              <w:bottom w:val="single" w:color="CBD5E1" w:sz="4"/>
              <w:right w:val="single" w:color="CBD5E1" w:sz="4"/>
            </w:tcBorders>
            <w:shd w:fill="F8FAFC"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Período de recuperación (Payback)</w:t>
            </w:r>
          </w:p>
        </w:tc>
        <w:tc>
          <w:tcPr>
            <w:tcW w:type="pct" w:w="20%"/>
            <w:tcBorders>
              <w:top w:val="single" w:color="CBD5E1" w:sz="4"/>
              <w:left w:val="single" w:color="CBD5E1" w:sz="4"/>
              <w:bottom w:val="single" w:color="CBD5E1" w:sz="4"/>
              <w:right w:val="single" w:color="CBD5E1" w:sz="4"/>
            </w:tcBorders>
            <w:shd w:fill="F8FAFC"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Año 2</w:t>
            </w:r>
          </w:p>
        </w:tc>
        <w:tc>
          <w:tcPr>
            <w:tcW w:type="pct" w:w="18%"/>
            <w:tcBorders>
              <w:top w:val="single" w:color="CBD5E1" w:sz="4"/>
              <w:left w:val="single" w:color="CBD5E1" w:sz="4"/>
              <w:bottom w:val="single" w:color="CBD5E1" w:sz="4"/>
              <w:right w:val="single" w:color="CBD5E1" w:sz="4"/>
            </w:tcBorders>
            <w:shd w:fill="F8FAFC"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&lt; 5 años</w:t>
            </w:r>
          </w:p>
        </w:tc>
        <w:tc>
          <w:tcPr>
            <w:tcW w:type="pct" w:w="40%"/>
            <w:tcBorders>
              <w:top w:val="single" w:color="CBD5E1" w:sz="4"/>
              <w:left w:val="single" w:color="CBD5E1" w:sz="4"/>
              <w:bottom w:val="single" w:color="CBD5E1" w:sz="4"/>
              <w:right w:val="single" w:color="CBD5E1" w:sz="4"/>
            </w:tcBorders>
            <w:shd w:fill="F8FAFC"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El capital invertido ($50.080.928) se recupera totalmente en el transcurso del Año 2.</w:t>
            </w:r>
          </w:p>
        </w:tc>
      </w:tr>
      <w:tr>
        <w:tc>
          <w:tcPr>
            <w:tcW w:type="pct" w:w="22%"/>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Relación Beneficio / Costo (B/C)</w:t>
            </w:r>
          </w:p>
        </w:tc>
        <w:tc>
          <w:tcPr>
            <w:tcW w:type="pct" w:w="20%"/>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1.43</w:t>
            </w:r>
          </w:p>
        </w:tc>
        <w:tc>
          <w:tcPr>
            <w:tcW w:type="pct" w:w="18%"/>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B/C &gt; 1,0</w:t>
            </w:r>
          </w:p>
        </w:tc>
        <w:tc>
          <w:tcPr>
            <w:tcW w:type="pct" w:w="40%"/>
            <w:tcBorders>
              <w:top w:val="single" w:color="CBD5E1" w:sz="4"/>
              <w:left w:val="single" w:color="CBD5E1" w:sz="4"/>
              <w:bottom w:val="single" w:color="CBD5E1" w:sz="4"/>
              <w:right w:val="single" w:color="CBD5E1" w:sz="4"/>
            </w:tcBorders>
            <w:shd w:fill="FFFFFF" w:val="clear"/>
            <w:tcMar>
              <w:top w:type="dxa" w:w="70"/>
              <w:left w:type="dxa" w:w="90"/>
              <w:bottom w:type="dxa" w:w="70"/>
              <w:right w:type="dxa" w:w="80"/>
            </w:tcMar>
          </w:tcPr>
          <w:p>
            <w:pPr>
              <w:spacing w:line="250"/>
            </w:pPr>
            <w:r>
              <w:rPr>
                <w:rFonts w:ascii="Calibri" w:cs="Calibri" w:eastAsia="Calibri" w:hAnsi="Calibri"/>
                <w:b w:val="false"/>
                <w:bCs w:val="false"/>
                <w:i w:val="false"/>
                <w:iCs w:val="false"/>
                <w:color w:val="0F172A"/>
                <w:sz w:val="20"/>
                <w:szCs w:val="20"/>
              </w:rPr>
              <w:t xml:space="preserve">Por cada $1 invertido y gastado, el proyecto genera retornos superiores a $1 a valor presente.</w:t>
            </w:r>
          </w:p>
        </w:tc>
      </w:tr>
    </w:tbl>
    <w:p>
      <w:pPr>
        <w:pStyle w:val="Heading2"/>
        <w:spacing w:after="120" w:before="280"/>
      </w:pPr>
      <w:r>
        <w:rPr>
          <w:rFonts w:ascii="Calibri" w:cs="Calibri" w:eastAsia="Calibri" w:hAnsi="Calibri"/>
          <w:b/>
          <w:bCs/>
          <w:i w:val="false"/>
          <w:iCs w:val="false"/>
          <w:color w:val="0284C7"/>
          <w:sz w:val="24"/>
          <w:szCs w:val="24"/>
        </w:rPr>
        <w:t xml:space="preserve">10.2 CONCLUSIÓN</w:t>
      </w:r>
    </w:p>
    <w:p>
      <w:pPr>
        <w:spacing w:after="120" w:before="80" w:line="276"/>
        <w:jc w:val="both"/>
      </w:pPr>
      <w:r>
        <w:rPr>
          <w:rFonts w:ascii="Calibri" w:cs="Calibri" w:eastAsia="Calibri" w:hAnsi="Calibri"/>
          <w:b w:val="false"/>
          <w:bCs w:val="false"/>
          <w:i w:val="false"/>
          <w:iCs w:val="false"/>
          <w:color w:val="0F172A"/>
          <w:sz w:val="22"/>
          <w:szCs w:val="22"/>
        </w:rPr>
        <w:t xml:space="preserve">El análisis financiero confirma la plena viabilidad técnica, operativa y financiera del proyecto TributoApp S.A.S. Al alcanzar el punto de equilibrio en el Año 1 con 570 usuarios activos promedio/mes ($157.001.000 COP en ingresos), el negocio absorbe la totalidad de sus costos directos ($43.897.534) y gastos operativos ($111.000.000) sin generar pérdidas operativas acumuladas.</w:t>
      </w:r>
    </w:p>
    <w:p>
      <w:pPr>
        <w:spacing w:after="120" w:before="80" w:line="276"/>
        <w:jc w:val="both"/>
      </w:pPr>
      <w:r>
        <w:rPr>
          <w:rFonts w:ascii="Calibri" w:cs="Calibri" w:eastAsia="Calibri" w:hAnsi="Calibri"/>
          <w:b w:val="false"/>
          <w:bCs w:val="false"/>
          <w:i w:val="false"/>
          <w:iCs w:val="false"/>
          <w:color w:val="0F172A"/>
          <w:sz w:val="22"/>
          <w:szCs w:val="22"/>
        </w:rPr>
        <w:t xml:space="preserve">El Valor Presente Neto (VPN) calculado a una tasa de oportunidad del 18,5% anual arroja un resultado positivo de $155.776.001 COP, demostrando una sólida creación de valor económico para los socios fundadores.</w:t>
      </w:r>
    </w:p>
    <w:p>
      <w:pPr>
        <w:spacing w:after="120" w:before="80" w:line="276"/>
        <w:jc w:val="both"/>
      </w:pPr>
      <w:r>
        <w:rPr>
          <w:rFonts w:ascii="Calibri" w:cs="Calibri" w:eastAsia="Calibri" w:hAnsi="Calibri"/>
          <w:b w:val="false"/>
          <w:bCs w:val="false"/>
          <w:i w:val="false"/>
          <w:iCs w:val="false"/>
          <w:color w:val="0F172A"/>
          <w:sz w:val="22"/>
          <w:szCs w:val="22"/>
        </w:rPr>
        <w:t xml:space="preserve">La Tasa Interna de Retorno (TIR) del 80.7% anual supera con holgura la TIO del 18,5%, ratificando la alta eficiencia en capital y escalabilidad propia del modelo Software as a Service (SaaS).</w:t>
      </w:r>
    </w:p>
    <w:p>
      <w:pPr>
        <w:spacing w:after="120" w:before="80" w:line="276"/>
        <w:jc w:val="both"/>
      </w:pPr>
      <w:r>
        <w:rPr>
          <w:rFonts w:ascii="Calibri" w:cs="Calibri" w:eastAsia="Calibri" w:hAnsi="Calibri"/>
          <w:b w:val="false"/>
          <w:bCs w:val="false"/>
          <w:i w:val="false"/>
          <w:iCs w:val="false"/>
          <w:color w:val="0F172A"/>
          <w:sz w:val="22"/>
          <w:szCs w:val="22"/>
        </w:rPr>
        <w:t xml:space="preserve">Se recomienda APROBAR Y EJECUTAR la implementación de TributoApp S.A.S., concentrando el esfuerzo del equipo comercial en la meta de 570 suscriptores en el Año 1 como hito fundamental para la consolidación del negocio.</w:t>
      </w:r>
    </w:p>
    <w:sectPr>
      <w:headerReference w:type="default" r:id="rId7"/>
      <w:footerReference w:type="default" r:id="rId8"/>
      <w:pgSz w:w="11906" w:h="16838" w:orient="portrait"/>
      <w:pgMar w:top="1080" w:right="1080" w:bottom="1080" w:left="12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b w:val="false"/>
        <w:bCs w:val="false"/>
        <w:i w:val="false"/>
        <w:iCs w:val="false"/>
        <w:color w:val="94A3B8"/>
        <w:sz w:val="18"/>
        <w:szCs w:val="18"/>
      </w:rPr>
      <w:t xml:space="preserve">Página </w:t>
    </w:r>
    <w:r>
      <w:rPr>
        <w:rFonts w:ascii="Calibri" w:cs="Calibri" w:eastAsia="Calibri" w:hAnsi="Calibri"/>
        <w:color w:val="94A3B8"/>
        <w:sz w:val="18"/>
        <w:szCs w:val="18"/>
      </w:rPr>
      <w:fldChar w:fldCharType="begin"/>
      <w:instrText xml:space="preserve">PAGE</w:instrText>
      <w:fldChar w:fldCharType="separate"/>
      <w:fldChar w:fldCharType="end"/>
    </w:r>
    <w:r>
      <w:rPr>
        <w:rFonts w:ascii="Calibri" w:cs="Calibri" w:eastAsia="Calibri" w:hAnsi="Calibri"/>
        <w:b w:val="false"/>
        <w:bCs w:val="false"/>
        <w:i w:val="false"/>
        <w:iCs w:val="false"/>
        <w:color w:val="94A3B8"/>
        <w:sz w:val="18"/>
        <w:szCs w:val="18"/>
      </w:rPr>
      <w:t xml:space="preserve"> de </w:t>
    </w:r>
    <w:r>
      <w:rPr>
        <w:rFonts w:ascii="Calibri" w:cs="Calibri" w:eastAsia="Calibri" w:hAnsi="Calibri"/>
        <w:color w:val="94A3B8"/>
        <w:sz w:val="18"/>
        <w:szCs w:val="18"/>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b w:val="false"/>
        <w:bCs w:val="false"/>
        <w:i w:val="false"/>
        <w:iCs w:val="false"/>
        <w:color w:val="94A3B8"/>
        <w:sz w:val="18"/>
        <w:szCs w:val="18"/>
      </w:rPr>
      <w:t xml:space="preserve">PLAN DE NEGOCIO — TributoApp S.A.S. | Barranquilla, Colombia | 2026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2026-08-17T03:04:04.799Z</dcterms:created>
  <dcterms:modified xsi:type="dcterms:W3CDTF">2026-08-17T03:04:04.800Z</dcterms:modified>
</cp:coreProperties>
</file>

<file path=docProps/custom.xml><?xml version="1.0" encoding="utf-8"?>
<Properties xmlns="http://schemas.openxmlformats.org/officeDocument/2006/custom-properties" xmlns:vt="http://schemas.openxmlformats.org/officeDocument/2006/docPropsVTypes"/>
</file>